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5B2" w:rsidRPr="00B86ACD" w:rsidRDefault="007B73B5" w:rsidP="005C7953">
      <w:pPr>
        <w:pStyle w:val="Baslik"/>
      </w:pPr>
      <w:r>
        <w:t>Title (18 pt)</w:t>
      </w:r>
    </w:p>
    <w:p w:rsidR="00E755B2" w:rsidRPr="00B86ACD" w:rsidRDefault="00117027" w:rsidP="00BE34EF">
      <w:pPr>
        <w:pStyle w:val="Yazarlar"/>
      </w:pPr>
      <w:r>
        <w:t>Author Name</w:t>
      </w:r>
      <w:r w:rsidR="00A70C96" w:rsidRPr="00B86ACD">
        <w:rPr>
          <w:vertAlign w:val="superscript"/>
        </w:rPr>
        <w:t>1</w:t>
      </w:r>
      <w:r w:rsidR="00A70C96" w:rsidRPr="00B86ACD">
        <w:t xml:space="preserve">, </w:t>
      </w:r>
      <w:r>
        <w:t>Author Name</w:t>
      </w:r>
      <w:r w:rsidRPr="00B86ACD">
        <w:rPr>
          <w:vertAlign w:val="superscript"/>
        </w:rPr>
        <w:t xml:space="preserve"> </w:t>
      </w:r>
      <w:r w:rsidR="00A70C96" w:rsidRPr="00B86ACD">
        <w:rPr>
          <w:vertAlign w:val="superscript"/>
        </w:rPr>
        <w:t>2</w:t>
      </w:r>
      <w:r w:rsidR="00141972" w:rsidRPr="00B86ACD">
        <w:rPr>
          <w:rStyle w:val="DipnotBavurusu"/>
        </w:rPr>
        <w:footnoteReference w:customMarkFollows="1" w:id="1"/>
        <w:sym w:font="Symbol" w:char="F02A"/>
      </w:r>
      <w:r w:rsidR="00A70C96" w:rsidRPr="00B86ACD">
        <w:t xml:space="preserve">, </w:t>
      </w:r>
      <w:r>
        <w:t>Author Name</w:t>
      </w:r>
      <w:r w:rsidRPr="00B86ACD">
        <w:rPr>
          <w:vertAlign w:val="superscript"/>
        </w:rPr>
        <w:t xml:space="preserve"> </w:t>
      </w:r>
      <w:r w:rsidR="00141972" w:rsidRPr="00B86ACD">
        <w:rPr>
          <w:vertAlign w:val="superscript"/>
        </w:rPr>
        <w:t>3</w:t>
      </w:r>
    </w:p>
    <w:p w:rsidR="00ED1490" w:rsidRPr="00B86ACD" w:rsidRDefault="00A70C96" w:rsidP="005C7953">
      <w:pPr>
        <w:pStyle w:val="Kurumlar"/>
      </w:pPr>
      <w:r w:rsidRPr="00B86ACD">
        <w:rPr>
          <w:vertAlign w:val="superscript"/>
        </w:rPr>
        <w:t>1</w:t>
      </w:r>
      <w:r w:rsidR="004D13D9" w:rsidRPr="00B86ACD">
        <w:t xml:space="preserve"> </w:t>
      </w:r>
      <w:r w:rsidR="00117027">
        <w:t>Adress, E-mail</w:t>
      </w:r>
    </w:p>
    <w:p w:rsidR="00141972" w:rsidRPr="00B86ACD" w:rsidRDefault="00141972" w:rsidP="005C7953">
      <w:pPr>
        <w:pStyle w:val="Kurumlar"/>
      </w:pPr>
      <w:r w:rsidRPr="00B86ACD">
        <w:rPr>
          <w:vertAlign w:val="superscript"/>
        </w:rPr>
        <w:t>2</w:t>
      </w:r>
      <w:r w:rsidR="006E40F0" w:rsidRPr="00B86ACD">
        <w:t xml:space="preserve"> Corresponding author : Turkish Airlines, Turkish Aviation Academy, Yesilkoy, İstanbul, Turkey, herdun@thy.com</w:t>
      </w:r>
    </w:p>
    <w:p w:rsidR="00117027" w:rsidRPr="00B86ACD" w:rsidRDefault="00141972" w:rsidP="00117027">
      <w:pPr>
        <w:pStyle w:val="Kurumlar"/>
      </w:pPr>
      <w:r w:rsidRPr="00B86ACD">
        <w:rPr>
          <w:vertAlign w:val="superscript"/>
        </w:rPr>
        <w:t>3</w:t>
      </w:r>
      <w:r w:rsidR="007B56CB" w:rsidRPr="00B86ACD">
        <w:t xml:space="preserve"> Marmara Clean Air Center, Ministry of Environment and Urbanization, Nisantaşı, 34365, Istanbul, Turkey, ozzqa@hotmail.com</w:t>
      </w:r>
    </w:p>
    <w:p w:rsidR="00E755B2" w:rsidRPr="00B86ACD" w:rsidRDefault="00E755B2" w:rsidP="00BE34EF">
      <w:pPr>
        <w:pStyle w:val="Ozetbaslik"/>
      </w:pPr>
      <w:r w:rsidRPr="00B86ACD">
        <w:t>Abstract</w:t>
      </w:r>
      <w:r w:rsidR="00C37273" w:rsidRPr="00B86ACD">
        <w:t xml:space="preserve"> </w:t>
      </w:r>
    </w:p>
    <w:p w:rsidR="00E755B2" w:rsidRPr="00B86ACD" w:rsidRDefault="00E755B2" w:rsidP="005A2E68">
      <w:pPr>
        <w:pStyle w:val="metin"/>
        <w:rPr>
          <w:b/>
        </w:rPr>
      </w:pPr>
      <w:r w:rsidRPr="00B86ACD">
        <w:t xml:space="preserve">Turkey has had significant improvements in her economy over the last decades. </w:t>
      </w:r>
      <w:r w:rsidR="00116B78" w:rsidRPr="00B86ACD">
        <w:t>Although, Turkey's air quality constantly improves every year, air pollution pr</w:t>
      </w:r>
      <w:r w:rsidR="00785C80" w:rsidRPr="00B86ACD">
        <w:t>oblem still continues in Turkey</w:t>
      </w:r>
      <w:r w:rsidR="00116B78" w:rsidRPr="00B86ACD">
        <w:t>.</w:t>
      </w:r>
      <w:r w:rsidRPr="00B86ACD">
        <w:t xml:space="preserve"> </w:t>
      </w:r>
      <w:r w:rsidR="00116B78" w:rsidRPr="00B86ACD">
        <w:t>Descriptive statistics was carried out for three years hourly average of PM10, SO</w:t>
      </w:r>
      <w:r w:rsidR="00116B78" w:rsidRPr="00F347FC">
        <w:rPr>
          <w:vertAlign w:val="subscript"/>
        </w:rPr>
        <w:t>2</w:t>
      </w:r>
      <w:r w:rsidR="00116B78" w:rsidRPr="00B86ACD">
        <w:t>, NO</w:t>
      </w:r>
      <w:r w:rsidR="00116B78" w:rsidRPr="00F347FC">
        <w:rPr>
          <w:vertAlign w:val="subscript"/>
        </w:rPr>
        <w:t>2</w:t>
      </w:r>
      <w:r w:rsidR="00116B78" w:rsidRPr="00B86ACD">
        <w:t xml:space="preserve"> and O</w:t>
      </w:r>
      <w:r w:rsidR="00116B78" w:rsidRPr="00F347FC">
        <w:rPr>
          <w:vertAlign w:val="subscript"/>
        </w:rPr>
        <w:t>3</w:t>
      </w:r>
      <w:r w:rsidR="00116B78" w:rsidRPr="00B86ACD">
        <w:t xml:space="preserve"> concentrations of 16 metropolitan cities </w:t>
      </w:r>
      <w:r w:rsidR="003F3C2A" w:rsidRPr="00B86ACD">
        <w:t>in</w:t>
      </w:r>
      <w:r w:rsidR="00116B78" w:rsidRPr="00B86ACD">
        <w:t xml:space="preserve"> Turkey.</w:t>
      </w:r>
      <w:r w:rsidRPr="00B86ACD">
        <w:t xml:space="preserve"> The frequency distribution of daily average </w:t>
      </w:r>
      <w:r w:rsidR="004425EA">
        <w:t xml:space="preserve">of </w:t>
      </w:r>
      <w:r w:rsidRPr="00B86ACD">
        <w:t>PM10 concentration of all cities occurs within 59% at 20–60 µgm</w:t>
      </w:r>
      <w:r w:rsidRPr="00B86ACD">
        <w:rPr>
          <w:vertAlign w:val="superscript"/>
        </w:rPr>
        <w:t>-3</w:t>
      </w:r>
      <w:r w:rsidRPr="00B86ACD">
        <w:t xml:space="preserve"> range. Daily average </w:t>
      </w:r>
      <w:r w:rsidR="004425EA">
        <w:t xml:space="preserve">of </w:t>
      </w:r>
      <w:r w:rsidRPr="00B86ACD">
        <w:t>SO</w:t>
      </w:r>
      <w:r w:rsidRPr="00B86ACD">
        <w:rPr>
          <w:vertAlign w:val="subscript"/>
        </w:rPr>
        <w:t>2</w:t>
      </w:r>
      <w:r w:rsidRPr="00B86ACD">
        <w:t xml:space="preserve"> concentration is a</w:t>
      </w:r>
      <w:r w:rsidR="00307F70" w:rsidRPr="00B86ACD">
        <w:t>bout 84% below 20</w:t>
      </w:r>
      <w:r w:rsidRPr="00B86ACD">
        <w:t>µgm</w:t>
      </w:r>
      <w:r w:rsidRPr="00B86ACD">
        <w:rPr>
          <w:vertAlign w:val="superscript"/>
        </w:rPr>
        <w:t>-3</w:t>
      </w:r>
      <w:r w:rsidRPr="00B86ACD">
        <w:t>. The study also indicated that 44% of NO</w:t>
      </w:r>
      <w:r w:rsidRPr="00B86ACD">
        <w:rPr>
          <w:vertAlign w:val="subscript"/>
        </w:rPr>
        <w:t>2</w:t>
      </w:r>
      <w:r w:rsidRPr="00B86ACD">
        <w:t xml:space="preserve"> and 59% of O</w:t>
      </w:r>
      <w:r w:rsidRPr="00B86ACD">
        <w:rPr>
          <w:vertAlign w:val="subscript"/>
        </w:rPr>
        <w:t>3</w:t>
      </w:r>
      <w:r w:rsidR="00ED1490" w:rsidRPr="00B86ACD">
        <w:t xml:space="preserve"> </w:t>
      </w:r>
      <w:r w:rsidRPr="00B86ACD">
        <w:t>were below the levels of 45 µgm</w:t>
      </w:r>
      <w:r w:rsidRPr="00B86ACD">
        <w:rPr>
          <w:vertAlign w:val="superscript"/>
        </w:rPr>
        <w:t>-3</w:t>
      </w:r>
      <w:r w:rsidRPr="00B86ACD">
        <w:t xml:space="preserve"> and 30 µgm</w:t>
      </w:r>
      <w:r w:rsidRPr="00B86ACD">
        <w:rPr>
          <w:vertAlign w:val="superscript"/>
        </w:rPr>
        <w:t>-3</w:t>
      </w:r>
      <w:r w:rsidRPr="00B86ACD">
        <w:t xml:space="preserve">, respectively. </w:t>
      </w:r>
      <w:r w:rsidR="00E677CE" w:rsidRPr="00B86ACD">
        <w:t>The result of this study is expected to benefit the legislators, scientists and government personnel about controlling and reducing emissions by developing a long-term air quality management strategy and create more public awareness for the prevention of consumption.</w:t>
      </w:r>
    </w:p>
    <w:p w:rsidR="00E755B2" w:rsidRPr="00B86ACD" w:rsidRDefault="00E755B2" w:rsidP="005C7953">
      <w:pPr>
        <w:pStyle w:val="Ananhtarkelimeler"/>
        <w:rPr>
          <w:b/>
        </w:rPr>
      </w:pPr>
      <w:r w:rsidRPr="00B86ACD">
        <w:rPr>
          <w:b/>
        </w:rPr>
        <w:t>Keywords:</w:t>
      </w:r>
      <w:r w:rsidRPr="00B86ACD">
        <w:t xml:space="preserve"> Urbani</w:t>
      </w:r>
      <w:r w:rsidR="005C7953" w:rsidRPr="00B86ACD">
        <w:t>zation,</w:t>
      </w:r>
      <w:r w:rsidRPr="00B86ACD">
        <w:t xml:space="preserve"> air pollution</w:t>
      </w:r>
      <w:r w:rsidR="005C7953" w:rsidRPr="00B86ACD">
        <w:t>,</w:t>
      </w:r>
      <w:r w:rsidRPr="00B86ACD">
        <w:t xml:space="preserve"> health</w:t>
      </w:r>
      <w:r w:rsidR="005C7953" w:rsidRPr="00B86ACD">
        <w:t>,</w:t>
      </w:r>
      <w:r w:rsidRPr="00B86ACD">
        <w:t xml:space="preserve"> metropolitan.</w:t>
      </w:r>
    </w:p>
    <w:p w:rsidR="00B86ACD" w:rsidRPr="00895FA2" w:rsidRDefault="00B86ACD" w:rsidP="00740BA1">
      <w:pPr>
        <w:pStyle w:val="Basliklar"/>
        <w:rPr>
          <w:lang w:val="tr-TR"/>
        </w:rPr>
        <w:sectPr w:rsidR="00B86ACD" w:rsidRPr="00895FA2" w:rsidSect="00731AC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851" w:right="851" w:bottom="851" w:left="851" w:header="454" w:footer="454" w:gutter="0"/>
          <w:pgNumType w:start="12"/>
          <w:cols w:space="340"/>
          <w:titlePg/>
          <w:docGrid w:linePitch="360" w:charSpace="-2458"/>
        </w:sectPr>
      </w:pPr>
    </w:p>
    <w:p w:rsidR="00740BA1" w:rsidRPr="00B86ACD" w:rsidRDefault="00740BA1" w:rsidP="00740BA1">
      <w:pPr>
        <w:pStyle w:val="Basliklar"/>
      </w:pPr>
      <w:r w:rsidRPr="00B86ACD">
        <w:lastRenderedPageBreak/>
        <w:t>1. Introduction</w:t>
      </w:r>
    </w:p>
    <w:p w:rsidR="00740BA1" w:rsidRPr="00B86ACD" w:rsidRDefault="00740BA1" w:rsidP="00740BA1">
      <w:pPr>
        <w:pStyle w:val="metin"/>
      </w:pPr>
      <w:r w:rsidRPr="00B86ACD">
        <w:t xml:space="preserve">Humanity has recognized that air pollution is a major social concern since several decades. Industrialization, urbanization and land degradation decrease the level of air quality, because of air pollutants originating from industrial activities and vehicles </w:t>
      </w:r>
      <w:r w:rsidR="004425EA">
        <w:t>concentration in</w:t>
      </w:r>
      <w:r w:rsidRPr="00B86ACD">
        <w:t xml:space="preserve"> populated areas. Air quality is a complex phenomenon due to its sources, atmospheric conditions and interaction of many factors. It is relatively easy to see or smell poor food and water quality, but air quality is not easily recognized. People eat and drink several times a day, but they have to breathe every moment in order to live. Therefore, the air quality level is very important for the human life. Air pollution originates from different sources within urban and suburban areas and it is also transported from long distances. It is considered one of the major problems in populated urban areas with many consequences for humans such as health issues, global warming and regional climate change. Urban air pollution is a problem for both the developed and developing </w:t>
      </w:r>
      <w:r w:rsidR="004425EA">
        <w:t xml:space="preserve">countries </w:t>
      </w:r>
      <w:r w:rsidR="004425EA" w:rsidRPr="00B86ACD">
        <w:t>of</w:t>
      </w:r>
      <w:r w:rsidRPr="00B86ACD">
        <w:t xml:space="preserve"> the world (Gurjar et al., 2008). The use of technology in everyday life steadily increases parallel to the income level of the population</w:t>
      </w:r>
      <w:r w:rsidR="004425EA">
        <w:t>, which lead</w:t>
      </w:r>
      <w:r w:rsidRPr="00B86ACD">
        <w:t xml:space="preserve"> to growth in the energy consumption and vehicle usage causing greater demand for fossil fuels with an associated consequent in urban pollution. Industrialization and modernization lead to greater urban expansion with each passing day. Quality of food, water and air are very important for a reasonable and sustainable life and environment. People want to become healthier through what they eat and drink, as well as the quality of the air they breathe. Air quality investigations and information sharing with the public will lead to finding possible solutions to the air pollution problem. People should be aware of the air-borne carcinogen-containing pollutants. In order to assess the negative impacts of air pollution, the implementations of selected pilot studies must be considered on the scientific and </w:t>
      </w:r>
      <w:r w:rsidRPr="00B86ACD">
        <w:lastRenderedPageBreak/>
        <w:t xml:space="preserve">technological basis. Breathing </w:t>
      </w:r>
      <w:r w:rsidR="004425EA">
        <w:t xml:space="preserve">in </w:t>
      </w:r>
      <w:r w:rsidRPr="00B86ACD">
        <w:t>clean air is vital for better health and this could be</w:t>
      </w:r>
      <w:r w:rsidR="004425EA">
        <w:t xml:space="preserve"> achieved by effective solution</w:t>
      </w:r>
      <w:r w:rsidRPr="00B86ACD">
        <w:t xml:space="preserve"> for the air pollution problem, which is the aim of this study.</w:t>
      </w:r>
    </w:p>
    <w:p w:rsidR="00E755B2" w:rsidRPr="002B1C67" w:rsidRDefault="00E755B2" w:rsidP="00C031D8">
      <w:pPr>
        <w:pStyle w:val="metin"/>
        <w:spacing w:before="0" w:after="0"/>
      </w:pPr>
      <w:r w:rsidRPr="00B86ACD">
        <w:t xml:space="preserve">Air pollution is certainly not a new phenomenon and its negative effect on health dated as far </w:t>
      </w:r>
      <w:r w:rsidR="004425EA">
        <w:t xml:space="preserve">back </w:t>
      </w:r>
      <w:r w:rsidRPr="00B86ACD">
        <w:t>as the early ages. For example, one thousand years ago a philosopher and physician Avicenna (IbnSina) emphasized in his books, the effects of pollution on health (Byrne</w:t>
      </w:r>
      <w:r w:rsidR="0057107E" w:rsidRPr="00B86ACD">
        <w:t>,</w:t>
      </w:r>
      <w:r w:rsidRPr="00B86ACD">
        <w:t xml:space="preserve"> 2008). Extensive fossil fuel consumption in almost all human activities led to some undesirable phenomena such as atmospheric and environmental pollution, which have not been experienced before in human history (Şen</w:t>
      </w:r>
      <w:r w:rsidR="0057107E" w:rsidRPr="00B86ACD">
        <w:t>,</w:t>
      </w:r>
      <w:r w:rsidRPr="00B86ACD">
        <w:t xml:space="preserve"> 2004). Air pollution in a region is a complex phenomenon that varies in time and space and results from different sources; topographical, meteorological and anthropogenic activities (Şen</w:t>
      </w:r>
      <w:r w:rsidR="0057107E" w:rsidRPr="00B86ACD">
        <w:t>,</w:t>
      </w:r>
      <w:r w:rsidRPr="00B86ACD">
        <w:t xml:space="preserve"> 1998). When air pollution levels are low, usually far away from sources and rural areas, their negative effects are said to have chronic effects on health over a long period of time. </w:t>
      </w:r>
      <w:r w:rsidR="00D75C65" w:rsidRPr="00B86ACD">
        <w:t>However,</w:t>
      </w:r>
      <w:r w:rsidRPr="00B86ACD">
        <w:t xml:space="preserve"> extreme concentrations of pollutants, usually seen nearby in the urban areas, can have catastrophic effects on people's health and may also lead to changes in the world ecosystem (Ercelebi and Toros</w:t>
      </w:r>
      <w:r w:rsidR="0057107E" w:rsidRPr="00B86ACD">
        <w:t>,</w:t>
      </w:r>
      <w:r w:rsidRPr="00B86ACD">
        <w:t xml:space="preserve"> 2009; Saylan et al.</w:t>
      </w:r>
      <w:r w:rsidR="0057107E" w:rsidRPr="00B86ACD">
        <w:t>,</w:t>
      </w:r>
      <w:r w:rsidRPr="00B86ACD">
        <w:t xml:space="preserve"> 2011). Therefore, the statistics of air quality levels permits the assessment of their contribution to overall air pollution. Mayer (2009) emphasized that most cities of the world suffer from serious air quality problems and that the major probable reasons for this is urban population growth, combined with a change in land use due to increasing urbanization. On the other hand, Baldasano et al. (2003) who studied air quality data from large cities</w:t>
      </w:r>
      <w:r w:rsidR="00D75C65" w:rsidRPr="00B86ACD">
        <w:t>,</w:t>
      </w:r>
      <w:r w:rsidRPr="00B86ACD">
        <w:t xml:space="preserve"> </w:t>
      </w:r>
      <w:r w:rsidR="00D75C65" w:rsidRPr="00B86ACD">
        <w:t>present</w:t>
      </w:r>
      <w:r w:rsidRPr="00B86ACD">
        <w:t xml:space="preserve"> an assessment of the air quality for the principal cities in developed and developing countries. According to their study, particulate matter is a major problem in almost all of the Asia, exceeding 300 µgm</w:t>
      </w:r>
      <w:r w:rsidRPr="00B86ACD">
        <w:rPr>
          <w:vertAlign w:val="superscript"/>
        </w:rPr>
        <w:t>-3</w:t>
      </w:r>
      <w:r w:rsidRPr="00B86ACD">
        <w:t xml:space="preserve"> in many cities. The investigation by Parekh et al. (2001) has clearly shown that different cities in different geographical areas of the world have a very high particulate loading in their ambient air. Kindap et al. (2006) investigated </w:t>
      </w:r>
      <w:r w:rsidRPr="00B86ACD">
        <w:lastRenderedPageBreak/>
        <w:t>the trans-boundary particulate matter transport from Eastern European countries to Turkey. Their study demonstrated that the impact of emissions from Eastern Europe to PM10 concentrations in Istanbul may be significant under certain meteorological conditions. They highlighted that on the average, transport accounts for a small percentage of PM10 levels in Istanbul, but at times, it can constitute about one quarter of Istanbul’s PM pollution during the simulated period. Unal et al. (2011) have analyzed PM10 concentration data collected at 10 stations in the Istanbul Municipality area for the period of 2005-2009. They focused on the spatial and temporal variations of the pollutants and their possible sources. The PM10 concentrations in Istanbul showed significant variations across the city with PM10 levels at several traffic hot spots and industrial zones exceeding European Community (EC) air quality limits. Their study indicated that the general temporal pattern is characterized by high concentrations in winter and lower concentrations in summer. The number of occasions when levels exceeded EU limits was surpassed at all the monitoring sites during the analyzed years, which reﬂects the serious pollution problem in the biggest city of Turkey. Ozdemir et al. (2012) have analyzed the effect of traffic emission at the playgrounds close to a road.</w:t>
      </w:r>
      <w:r w:rsidR="00D75C65" w:rsidRPr="00B86ACD">
        <w:t xml:space="preserve"> According to their</w:t>
      </w:r>
      <w:r w:rsidRPr="00B86ACD">
        <w:t xml:space="preserve"> </w:t>
      </w:r>
      <w:r w:rsidR="00D75C65" w:rsidRPr="00B86ACD">
        <w:t>study,</w:t>
      </w:r>
      <w:r w:rsidRPr="00B86ACD">
        <w:t xml:space="preserve"> half of the population lives in the urban environments where air pollution has become one of the most critical issues for human health in the world and unfortunately, </w:t>
      </w:r>
      <w:r w:rsidRPr="002B1C67">
        <w:t>children are more susceptible to air pollution</w:t>
      </w:r>
      <w:r w:rsidR="00D75C65" w:rsidRPr="002B1C67">
        <w:t xml:space="preserve"> than adults</w:t>
      </w:r>
      <w:r w:rsidRPr="002B1C67">
        <w:t xml:space="preserve"> since they inhale and retain larger amounts of air pollutants per unit of body weight in cities. </w:t>
      </w:r>
    </w:p>
    <w:p w:rsidR="00E755B2" w:rsidRPr="00B86ACD" w:rsidRDefault="00E755B2" w:rsidP="00C031D8">
      <w:pPr>
        <w:pStyle w:val="metin"/>
        <w:spacing w:before="0" w:after="0"/>
        <w:rPr>
          <w:b/>
        </w:rPr>
      </w:pPr>
      <w:r w:rsidRPr="002B1C67">
        <w:t xml:space="preserve">In this study, the data are analyzed </w:t>
      </w:r>
      <w:r w:rsidRPr="00B86ACD">
        <w:t>and presented in relation to environmental conta</w:t>
      </w:r>
      <w:r w:rsidR="004425EA">
        <w:t>mination and health with result</w:t>
      </w:r>
      <w:r w:rsidRPr="00B86ACD">
        <w:t xml:space="preserve"> from a set of representative sample of air quality data concentration</w:t>
      </w:r>
      <w:r w:rsidR="003F3C2A" w:rsidRPr="00B86ACD">
        <w:t>s of</w:t>
      </w:r>
      <w:r w:rsidRPr="00B86ACD">
        <w:t xml:space="preserve"> monitoring stations in sixteen metropolitan areas of Turkey. These results demonstrate</w:t>
      </w:r>
      <w:r w:rsidR="008B5F73" w:rsidRPr="00B86ACD">
        <w:t xml:space="preserve"> background</w:t>
      </w:r>
      <w:r w:rsidRPr="00B86ACD">
        <w:t xml:space="preserve"> air pollution</w:t>
      </w:r>
      <w:r w:rsidR="008B5F73" w:rsidRPr="00B86ACD">
        <w:t xml:space="preserve"> levels</w:t>
      </w:r>
      <w:r w:rsidR="003F3C2A" w:rsidRPr="00B86ACD">
        <w:t xml:space="preserve"> and</w:t>
      </w:r>
      <w:r w:rsidRPr="00B86ACD">
        <w:t xml:space="preserve"> variability </w:t>
      </w:r>
      <w:r w:rsidR="003F3C2A" w:rsidRPr="00B86ACD">
        <w:t>in metropolitan</w:t>
      </w:r>
      <w:r w:rsidRPr="00B86ACD">
        <w:t xml:space="preserve"> areas but futur</w:t>
      </w:r>
      <w:r w:rsidR="008B5F73" w:rsidRPr="00B86ACD">
        <w:t>e studies</w:t>
      </w:r>
      <w:r w:rsidR="003F3C2A" w:rsidRPr="00B86ACD">
        <w:t xml:space="preserve"> forecasting air quality levels</w:t>
      </w:r>
      <w:r w:rsidRPr="00B86ACD">
        <w:t xml:space="preserve"> are important for human health sustainability in order to prevent </w:t>
      </w:r>
      <w:r w:rsidR="003F3C2A" w:rsidRPr="00B86ACD">
        <w:t>health</w:t>
      </w:r>
      <w:r w:rsidRPr="00B86ACD">
        <w:t xml:space="preserve"> effects. </w:t>
      </w:r>
    </w:p>
    <w:p w:rsidR="00E755B2" w:rsidRPr="00B86ACD" w:rsidRDefault="00975343" w:rsidP="00BE34EF">
      <w:pPr>
        <w:pStyle w:val="Basliklar"/>
      </w:pPr>
      <w:r w:rsidRPr="00B86ACD">
        <w:t xml:space="preserve">2. </w:t>
      </w:r>
      <w:r w:rsidR="00E755B2" w:rsidRPr="00B86ACD">
        <w:t>Study Area, Data and Methodology</w:t>
      </w:r>
    </w:p>
    <w:p w:rsidR="00747669" w:rsidRPr="00B86ACD" w:rsidRDefault="00E755B2" w:rsidP="0057107E">
      <w:pPr>
        <w:pStyle w:val="metin"/>
      </w:pPr>
      <w:r w:rsidRPr="00B86ACD">
        <w:t xml:space="preserve">Turkey is located, between </w:t>
      </w:r>
      <w:r w:rsidR="004425EA">
        <w:t xml:space="preserve">latitude </w:t>
      </w:r>
      <w:r w:rsidRPr="00B86ACD">
        <w:t>35</w:t>
      </w:r>
      <w:r w:rsidRPr="00B86ACD">
        <w:rPr>
          <w:vertAlign w:val="superscript"/>
        </w:rPr>
        <w:t>o</w:t>
      </w:r>
      <w:r w:rsidRPr="00B86ACD">
        <w:t xml:space="preserve"> and 42° north and between </w:t>
      </w:r>
      <w:r w:rsidR="004425EA">
        <w:t xml:space="preserve">longitude </w:t>
      </w:r>
      <w:r w:rsidRPr="00B86ACD">
        <w:t>26</w:t>
      </w:r>
      <w:r w:rsidRPr="00B86ACD">
        <w:rPr>
          <w:vertAlign w:val="superscript"/>
        </w:rPr>
        <w:t>o</w:t>
      </w:r>
      <w:r w:rsidR="004425EA">
        <w:t xml:space="preserve"> and 44° east</w:t>
      </w:r>
      <w:r w:rsidRPr="00B86ACD">
        <w:t>, on the border between two continents of Europe and Asia. It has a significant geostrategic importance for general air circulation between Europe, Asia and Africa. Turkey covers an area of 783 562 km</w:t>
      </w:r>
      <w:r w:rsidRPr="00B86ACD">
        <w:rPr>
          <w:vertAlign w:val="superscript"/>
        </w:rPr>
        <w:t>2</w:t>
      </w:r>
      <w:r w:rsidRPr="00B86ACD">
        <w:t xml:space="preserve"> with an inc</w:t>
      </w:r>
      <w:r w:rsidR="004425EA">
        <w:t>reasing business and convention</w:t>
      </w:r>
      <w:r w:rsidRPr="00B86ACD">
        <w:t xml:space="preserve"> center</w:t>
      </w:r>
      <w:r w:rsidR="004425EA">
        <w:t>s</w:t>
      </w:r>
      <w:r w:rsidRPr="00B86ACD">
        <w:t xml:space="preserve">. It’s one of the world's newly industrialized countries and </w:t>
      </w:r>
      <w:r w:rsidR="004425EA">
        <w:t xml:space="preserve">her </w:t>
      </w:r>
      <w:r w:rsidR="00FC7E57" w:rsidRPr="00B86ACD">
        <w:t xml:space="preserve">diplomatic initiatives led to </w:t>
      </w:r>
      <w:r w:rsidR="004425EA">
        <w:t>her</w:t>
      </w:r>
      <w:r w:rsidR="00FC7E57" w:rsidRPr="00B86ACD">
        <w:t xml:space="preserve"> recognition as a growing regional power in the World</w:t>
      </w:r>
      <w:r w:rsidRPr="00B86ACD">
        <w:t xml:space="preserve">. Turkey is surrounded by coastal borders with the Mediterranean Sea, the Aegean Sea and the Black Sea and by the land borders of Greece, Bulgaria, Armenia, Azerbaijan, Georgia, Syria, Iraq and Iran (Fig. 1). As a Mediterranean country with four distinct seasons, the climatic conditions are quite temperate. The coastal region climate is moderate with greater precipitation and the interior part has </w:t>
      </w:r>
      <w:r w:rsidR="00FC7E57" w:rsidRPr="00B86ACD">
        <w:t>Anatolia P</w:t>
      </w:r>
      <w:r w:rsidRPr="00B86ACD">
        <w:t>lateau with hot summers and cold winters and limited rainfall (Toros</w:t>
      </w:r>
      <w:r w:rsidR="0057107E" w:rsidRPr="00B86ACD">
        <w:t>,</w:t>
      </w:r>
      <w:r w:rsidRPr="00B86ACD">
        <w:t xml:space="preserve"> 2012). </w:t>
      </w:r>
      <w:r w:rsidR="00FC7E57" w:rsidRPr="00B86ACD">
        <w:t>Turkey’s</w:t>
      </w:r>
      <w:r w:rsidRPr="00B86ACD">
        <w:t xml:space="preserve"> population is approximately 75 million and the annual population growth rate in 2011 was 1.35% (TUIK 2012). According to the 1927 census 76% of the population lived in villages and 24% lived in cities. However, the 2011 census indicated that 77% of Turkey’s population lived in urban areas and 23% in the villages (Fig. 2). There are 81 provinces, 16 of them are metropolitan municipalities (cities having population more than 750 thousand), and there is at least one air quality monitoring station in all provinces, although the number of stations is increasing rapidly. The population of the metropolitan and dependent areas is approximately 43 million (about 57% of the population of Turkey). The remainder, 88% are in provincial and district centers and only 12% live in towns and villages (TUIK</w:t>
      </w:r>
      <w:r w:rsidR="0057107E" w:rsidRPr="00B86ACD">
        <w:t>,</w:t>
      </w:r>
      <w:r w:rsidRPr="00B86ACD">
        <w:t xml:space="preserve"> 2012).</w:t>
      </w:r>
    </w:p>
    <w:p w:rsidR="00E755B2" w:rsidRPr="00B86ACD" w:rsidRDefault="00747669" w:rsidP="00747669">
      <w:pPr>
        <w:spacing w:after="0" w:line="240" w:lineRule="auto"/>
        <w:rPr>
          <w:rFonts w:ascii="Times New Roman" w:hAnsi="Times New Roman" w:cs="Times New Roman"/>
          <w:sz w:val="20"/>
          <w:szCs w:val="20"/>
          <w:lang w:val="en-US"/>
        </w:rPr>
      </w:pPr>
      <w:r w:rsidRPr="00B86ACD">
        <w:rPr>
          <w:rFonts w:ascii="Times New Roman" w:hAnsi="Times New Roman" w:cs="Times New Roman"/>
          <w:noProof/>
          <w:sz w:val="20"/>
          <w:szCs w:val="20"/>
          <w:lang w:eastAsia="tr-TR"/>
        </w:rPr>
        <w:drawing>
          <wp:inline distT="0" distB="0" distL="0" distR="0" wp14:anchorId="67F0A2A6" wp14:editId="159C95F2">
            <wp:extent cx="3240000" cy="1555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Map of Turkey and location of the megapoliticians_google_sehirle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1555800"/>
                    </a:xfrm>
                    <a:prstGeom prst="rect">
                      <a:avLst/>
                    </a:prstGeom>
                  </pic:spPr>
                </pic:pic>
              </a:graphicData>
            </a:graphic>
          </wp:inline>
        </w:drawing>
      </w:r>
    </w:p>
    <w:p w:rsidR="00747669" w:rsidRPr="00F347FC" w:rsidRDefault="00747669" w:rsidP="007D3C91">
      <w:pPr>
        <w:pStyle w:val="ResimYazs"/>
        <w:rPr>
          <w:rFonts w:cs="Times New Roman"/>
          <w:szCs w:val="20"/>
          <w:lang w:val="en-GB"/>
        </w:rPr>
      </w:pPr>
      <w:r w:rsidRPr="00F347FC">
        <w:rPr>
          <w:lang w:val="en-GB"/>
        </w:rPr>
        <w:t xml:space="preserve">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1</w:t>
      </w:r>
      <w:r w:rsidRPr="00F347FC">
        <w:rPr>
          <w:lang w:val="en-GB"/>
        </w:rPr>
        <w:fldChar w:fldCharType="end"/>
      </w:r>
      <w:r w:rsidRPr="00F347FC">
        <w:rPr>
          <w:lang w:val="en-GB"/>
        </w:rPr>
        <w:t>. Map of Turkey and location of the metropolitan areas.</w:t>
      </w:r>
    </w:p>
    <w:p w:rsidR="00431540" w:rsidRDefault="0063061C" w:rsidP="00C031D8">
      <w:pPr>
        <w:pStyle w:val="metin"/>
      </w:pPr>
      <w:r w:rsidRPr="00B86ACD">
        <w:t>There are two main sources affecting air quality in Turkey; one is the regional sources, and the other is long range transportation from Africa (desert dust) and Europe, due to the atmospheric circulation patterns (Kindap et al.</w:t>
      </w:r>
      <w:r w:rsidR="0089636F" w:rsidRPr="00B86ACD">
        <w:t>,</w:t>
      </w:r>
      <w:r w:rsidRPr="00B86ACD">
        <w:t xml:space="preserve"> 2006). Herein, we analyzed daily average concentrations of PM10, SO</w:t>
      </w:r>
      <w:r w:rsidRPr="00B86ACD">
        <w:rPr>
          <w:vertAlign w:val="subscript"/>
        </w:rPr>
        <w:t>2</w:t>
      </w:r>
      <w:r w:rsidRPr="00B86ACD">
        <w:t>, NO</w:t>
      </w:r>
      <w:r w:rsidRPr="00B86ACD">
        <w:rPr>
          <w:vertAlign w:val="subscript"/>
        </w:rPr>
        <w:t>2</w:t>
      </w:r>
      <w:r w:rsidRPr="00B86ACD">
        <w:t xml:space="preserve"> and O</w:t>
      </w:r>
      <w:r w:rsidRPr="00B86ACD">
        <w:rPr>
          <w:vertAlign w:val="subscript"/>
        </w:rPr>
        <w:t>3</w:t>
      </w:r>
      <w:r w:rsidRPr="00B86ACD">
        <w:t xml:space="preserve"> between 1 January 2010 and 31 December 2012. After quality control, the number of stations providing acceptable data was 47 for PM10; 50 for SO</w:t>
      </w:r>
      <w:r w:rsidRPr="00B86ACD">
        <w:rPr>
          <w:vertAlign w:val="subscript"/>
        </w:rPr>
        <w:t>2</w:t>
      </w:r>
      <w:r w:rsidRPr="00B86ACD">
        <w:t>; 22 for NO</w:t>
      </w:r>
      <w:r w:rsidRPr="00B86ACD">
        <w:rPr>
          <w:vertAlign w:val="subscript"/>
        </w:rPr>
        <w:t>2</w:t>
      </w:r>
      <w:r w:rsidRPr="00B86ACD">
        <w:t xml:space="preserve"> and 10 for O</w:t>
      </w:r>
      <w:r w:rsidRPr="00B86ACD">
        <w:rPr>
          <w:vertAlign w:val="subscript"/>
        </w:rPr>
        <w:t>3</w:t>
      </w:r>
      <w:r w:rsidRPr="00B86ACD">
        <w:t xml:space="preserve"> measurements. The data analysis was based on 24 hours averages concentrations. </w:t>
      </w:r>
      <w:r w:rsidR="00BF34E3" w:rsidRPr="00B86ACD">
        <w:t>Calculations were made if the concentration measurements are available at least 18 hours for each day</w:t>
      </w:r>
      <w:r w:rsidRPr="00B86ACD">
        <w:t>. The ambient air quality stations operated on a continuous basis under the supervision of the Ministry of Environment and Urbanism.</w:t>
      </w:r>
    </w:p>
    <w:p w:rsidR="007D3C91" w:rsidRDefault="007D3C91" w:rsidP="007D3C91">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tr-TR"/>
        </w:rPr>
        <w:drawing>
          <wp:inline distT="0" distB="0" distL="0" distR="0" wp14:anchorId="0E9CC98B">
            <wp:extent cx="3240000" cy="162142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621428"/>
                    </a:xfrm>
                    <a:prstGeom prst="rect">
                      <a:avLst/>
                    </a:prstGeom>
                    <a:noFill/>
                  </pic:spPr>
                </pic:pic>
              </a:graphicData>
            </a:graphic>
          </wp:inline>
        </w:drawing>
      </w:r>
    </w:p>
    <w:p w:rsidR="0063061C" w:rsidRPr="00F347FC" w:rsidRDefault="005D0663" w:rsidP="007D3C91">
      <w:pPr>
        <w:pStyle w:val="ResimYazs"/>
        <w:rPr>
          <w:sz w:val="14"/>
          <w:szCs w:val="20"/>
          <w:lang w:val="en-GB"/>
        </w:rPr>
      </w:pPr>
      <w:r w:rsidRPr="00F347FC">
        <w:rPr>
          <w:lang w:val="en-GB"/>
        </w:rPr>
        <w:t xml:space="preserve">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2</w:t>
      </w:r>
      <w:r w:rsidRPr="00F347FC">
        <w:rPr>
          <w:lang w:val="en-GB"/>
        </w:rPr>
        <w:fldChar w:fldCharType="end"/>
      </w:r>
      <w:r w:rsidRPr="00F347FC">
        <w:rPr>
          <w:lang w:val="en-GB"/>
        </w:rPr>
        <w:t>. Population of Turkey and percentage occupation of cities and villages with time (left panel) and the population of metropolitan and dependent areas (right panel).</w:t>
      </w:r>
    </w:p>
    <w:p w:rsidR="00E755B2" w:rsidRPr="00B86ACD" w:rsidRDefault="00E755B2" w:rsidP="0057107E">
      <w:pPr>
        <w:pStyle w:val="metin"/>
        <w:rPr>
          <w:b/>
        </w:rPr>
      </w:pPr>
      <w:r w:rsidRPr="00B86ACD">
        <w:t>To obtain additional information on the level of air quality in metropolitan areas, a descriptive statistical analysis was performed on the daily average air pollution data. During this study various air quality data from a number of stations (NS) were analyzed with daily available data (DAD) identifying maximum values (Max), 95% percentile (95%), 75% percentile (75%), Average, 25% percentile (25%), 5% percentile (5%), minimum (Min), standard deviation (Std), coefficient of skewness (Skw), finally coefficient of kurtosis values (Kur) and daily limit exceeding percentage of PM10 (&gt;50%). We calculate</w:t>
      </w:r>
      <w:r w:rsidR="00BF34E3" w:rsidRPr="00B86ACD">
        <w:t>d</w:t>
      </w:r>
      <w:r w:rsidRPr="00B86ACD">
        <w:t xml:space="preserve"> skewness and kurtosis to obtain additional information</w:t>
      </w:r>
      <w:r w:rsidR="00A45835" w:rsidRPr="00B86ACD">
        <w:t xml:space="preserve"> </w:t>
      </w:r>
      <w:r w:rsidRPr="00B86ACD">
        <w:t>on the shape of a probability distribution of air pollution data. A symmetrical distribution has a skewness of zero, a positive value of skewness has a long tail extending to the right whereas a negative value of skewness has a long tail extending to the left. Kurtosis measures whether the data are peaked or flat relative to a normal distribution. A normal distribution has a kurtosis of 3, a positive kurtosis indicates peak whereas a negative kurtosis indicates flat distribution.</w:t>
      </w:r>
    </w:p>
    <w:p w:rsidR="00E755B2" w:rsidRPr="00B86ACD" w:rsidRDefault="00E755B2" w:rsidP="00BE34EF">
      <w:pPr>
        <w:pStyle w:val="Basliklar"/>
      </w:pPr>
      <w:r w:rsidRPr="00B86ACD">
        <w:t>3.</w:t>
      </w:r>
      <w:r w:rsidRPr="00B86ACD">
        <w:tab/>
        <w:t>Results and Discussion</w:t>
      </w:r>
    </w:p>
    <w:p w:rsidR="00E755B2" w:rsidRPr="00B86ACD" w:rsidRDefault="00E755B2" w:rsidP="0057107E">
      <w:pPr>
        <w:pStyle w:val="metin"/>
      </w:pPr>
      <w:r w:rsidRPr="00B86ACD">
        <w:t>People’s health can be adversely affected by exposure to air pollutants such as PM10, SO</w:t>
      </w:r>
      <w:r w:rsidRPr="00B86ACD">
        <w:rPr>
          <w:vertAlign w:val="subscript"/>
        </w:rPr>
        <w:t>2</w:t>
      </w:r>
      <w:r w:rsidRPr="00B86ACD">
        <w:t>, NO</w:t>
      </w:r>
      <w:r w:rsidRPr="00B86ACD">
        <w:rPr>
          <w:vertAlign w:val="subscript"/>
        </w:rPr>
        <w:t>2</w:t>
      </w:r>
      <w:r w:rsidRPr="00B86ACD">
        <w:t xml:space="preserve"> and O</w:t>
      </w:r>
      <w:r w:rsidRPr="00B86ACD">
        <w:rPr>
          <w:vertAlign w:val="subscript"/>
        </w:rPr>
        <w:t>3</w:t>
      </w:r>
      <w:r w:rsidRPr="00B86ACD">
        <w:t>, which comes</w:t>
      </w:r>
      <w:r w:rsidR="00BF34E3" w:rsidRPr="00B86ACD">
        <w:t xml:space="preserve"> from a wide variety of sources like</w:t>
      </w:r>
      <w:r w:rsidRPr="00B86ACD">
        <w:t xml:space="preserve"> burning of fossil fuels, industries, long-range transportation. The effects of pollutants over the long-term (the average value is important) are seen in chronic disease and the consequence of catastrophic high levels of air pollution in the short-term can lead to penetrative respiratory effects (maximum value is impor</w:t>
      </w:r>
      <w:r w:rsidRPr="00B86ACD">
        <w:rPr>
          <w:rStyle w:val="metinChar"/>
        </w:rPr>
        <w:t>t</w:t>
      </w:r>
      <w:r w:rsidRPr="00B86ACD">
        <w:t>ant). Thus, some</w:t>
      </w:r>
      <w:r w:rsidR="00561B87" w:rsidRPr="00B86ACD">
        <w:t xml:space="preserve"> groups</w:t>
      </w:r>
      <w:r w:rsidRPr="00B86ACD">
        <w:t xml:space="preserve"> </w:t>
      </w:r>
      <w:r w:rsidR="00561B87" w:rsidRPr="00B86ACD">
        <w:t>could</w:t>
      </w:r>
      <w:r w:rsidRPr="00B86ACD">
        <w:t xml:space="preserve"> be more sensitive to pollutants than others like children</w:t>
      </w:r>
      <w:r w:rsidR="00561B87" w:rsidRPr="00B86ACD">
        <w:t>, older adults</w:t>
      </w:r>
      <w:r w:rsidRPr="00B86ACD">
        <w:t xml:space="preserve"> or some with health problems like asthma. Direct and indirect effects of pollutants vary from one place to another depending on pollutant concentrations and population density. In Turkey, the average number of people per square kilometer is about 97 and the most densely populated areas are; İstanbul with 2 622 per km</w:t>
      </w:r>
      <w:r w:rsidRPr="00B86ACD">
        <w:rPr>
          <w:vertAlign w:val="superscript"/>
        </w:rPr>
        <w:t>2</w:t>
      </w:r>
      <w:r w:rsidRPr="00B86ACD">
        <w:t>, Kocaeli with 443, İzmir with 330, Gaziantep with 257, Bursa with 254, to the least populated area, Tunceli with 11 people per km</w:t>
      </w:r>
      <w:r w:rsidRPr="00B86ACD">
        <w:rPr>
          <w:vertAlign w:val="superscript"/>
        </w:rPr>
        <w:t>2</w:t>
      </w:r>
      <w:r w:rsidRPr="00B86ACD">
        <w:t xml:space="preserve"> (TUIK 2012)</w:t>
      </w:r>
      <w:r w:rsidR="007B407A" w:rsidRPr="00B86ACD">
        <w:t>.</w:t>
      </w:r>
    </w:p>
    <w:p w:rsidR="00E755B2" w:rsidRPr="00B86ACD" w:rsidRDefault="00E755B2" w:rsidP="00BE34EF">
      <w:pPr>
        <w:pStyle w:val="Basliklar2"/>
      </w:pPr>
      <w:r w:rsidRPr="00B86ACD">
        <w:t>3.1 The statistical characteristics of PM10 concentration</w:t>
      </w:r>
    </w:p>
    <w:p w:rsidR="007474FB" w:rsidRPr="00B86ACD" w:rsidRDefault="00E755B2" w:rsidP="00C031D8">
      <w:pPr>
        <w:pStyle w:val="metin"/>
      </w:pPr>
      <w:r w:rsidRPr="00B86ACD">
        <w:t xml:space="preserve">The concentrations of air pollution vary inherently with time and space, and usually, increase in metropolitan areas due to human activities. </w:t>
      </w:r>
      <w:r w:rsidR="0041463C" w:rsidRPr="00B86ACD">
        <w:t xml:space="preserve">The main air pollution parameter is particulate matter (PM10), which </w:t>
      </w:r>
      <w:r w:rsidR="008B5F73" w:rsidRPr="00B86ACD">
        <w:t>originates from</w:t>
      </w:r>
      <w:r w:rsidR="0041463C" w:rsidRPr="00B86ACD">
        <w:t xml:space="preserve"> complex variety of sources like mixture of mineral components, salt, heavy metals, organic and elemental carbon with wide range of sizes.</w:t>
      </w:r>
      <w:r w:rsidRPr="00B86ACD">
        <w:t xml:space="preserve"> Quality of </w:t>
      </w:r>
      <w:r w:rsidR="007B407A" w:rsidRPr="00B86ACD">
        <w:t xml:space="preserve">life in </w:t>
      </w:r>
      <w:r w:rsidRPr="00B86ACD">
        <w:t xml:space="preserve">metropolitans also depends on their air quality levels. The statistical characteristics of ambient PM10 concentration are given in Table 1, which shows the general picture of pollution levels in 16 metropolitan areas of Turkey. </w:t>
      </w:r>
    </w:p>
    <w:p w:rsidR="00E755B2" w:rsidRPr="00B86ACD" w:rsidRDefault="00E755B2" w:rsidP="00C031D8">
      <w:pPr>
        <w:pStyle w:val="metin"/>
      </w:pPr>
      <w:r w:rsidRPr="00B86ACD">
        <w:tab/>
        <w:t xml:space="preserve">The data were obtained from 47 monitoring stations in 16 metropolitan areas over a three-year period. </w:t>
      </w:r>
      <w:r w:rsidR="003E4C06" w:rsidRPr="00B86ACD">
        <w:t>Thus,</w:t>
      </w:r>
      <w:r w:rsidRPr="00B86ACD">
        <w:t xml:space="preserve"> it is possible to compare the characteristics of PM10 conc</w:t>
      </w:r>
      <w:r w:rsidR="003E4C06" w:rsidRPr="00B86ACD">
        <w:t>entrations during 2010 and 2012</w:t>
      </w:r>
      <w:r w:rsidRPr="00B86ACD">
        <w:t xml:space="preserve">. </w:t>
      </w:r>
      <w:r w:rsidR="003E4C06" w:rsidRPr="00B86ACD">
        <w:t>According to Table 1, some metropolitan areas have more than one NS (number of stations).</w:t>
      </w:r>
      <w:r w:rsidRPr="00B86ACD">
        <w:t xml:space="preserve"> </w:t>
      </w:r>
      <w:r w:rsidR="003E4C06" w:rsidRPr="00B86ACD">
        <w:t>F</w:t>
      </w:r>
      <w:r w:rsidRPr="00B86ACD">
        <w:t>or instance, İstanbul has 10</w:t>
      </w:r>
      <w:r w:rsidR="00E34361" w:rsidRPr="00B86ACD">
        <w:t>,</w:t>
      </w:r>
      <w:r w:rsidRPr="00B86ACD">
        <w:t xml:space="preserve"> İzmir</w:t>
      </w:r>
      <w:r w:rsidR="00E34361" w:rsidRPr="00B86ACD">
        <w:t xml:space="preserve"> has</w:t>
      </w:r>
      <w:r w:rsidRPr="00B86ACD">
        <w:t xml:space="preserve"> 8; Ankara</w:t>
      </w:r>
      <w:r w:rsidR="00E34361" w:rsidRPr="00B86ACD">
        <w:t xml:space="preserve"> has</w:t>
      </w:r>
      <w:r w:rsidRPr="00B86ACD">
        <w:t xml:space="preserve"> 7; Adana</w:t>
      </w:r>
      <w:r w:rsidR="00E34361" w:rsidRPr="00B86ACD">
        <w:t xml:space="preserve"> has</w:t>
      </w:r>
      <w:r w:rsidRPr="00B86ACD">
        <w:t xml:space="preserve"> 4; Kayseri and Koca</w:t>
      </w:r>
      <w:r w:rsidR="00E34361" w:rsidRPr="00B86ACD">
        <w:t>eli have 3; and Konya and Samsun have</w:t>
      </w:r>
      <w:r w:rsidRPr="00B86ACD">
        <w:t xml:space="preserve"> 2 measurement stations. The number of days with available data</w:t>
      </w:r>
      <w:r w:rsidR="00E34361" w:rsidRPr="00B86ACD">
        <w:t xml:space="preserve"> (DAD)</w:t>
      </w:r>
      <w:r w:rsidRPr="00B86ACD">
        <w:t xml:space="preserve"> ranged were between 1084 (Ankara) and 502 (Bursa). The daily PM10 values vary from one city to </w:t>
      </w:r>
      <w:r w:rsidR="00E34361" w:rsidRPr="00B86ACD">
        <w:t>an</w:t>
      </w:r>
      <w:r w:rsidRPr="00B86ACD">
        <w:t>other, for example, the daily maximum value observed in Gaziantep was 631 µgm</w:t>
      </w:r>
      <w:r w:rsidRPr="00B86ACD">
        <w:rPr>
          <w:vertAlign w:val="superscript"/>
        </w:rPr>
        <w:t>-3</w:t>
      </w:r>
      <w:r w:rsidRPr="00B86ACD">
        <w:t>, whereas in Samsun it was 115 µgm</w:t>
      </w:r>
      <w:r w:rsidRPr="00B86ACD">
        <w:rPr>
          <w:vertAlign w:val="superscript"/>
        </w:rPr>
        <w:t>-3</w:t>
      </w:r>
      <w:r w:rsidRPr="00B86ACD">
        <w:t xml:space="preserve">. </w:t>
      </w:r>
      <w:r w:rsidR="00E34361" w:rsidRPr="00B86ACD">
        <w:t>Descriptive statistics and the frequency distribution of the average values of PM10 concentrations from 47 air quality stations are shown in Fig. 3</w:t>
      </w:r>
      <w:r w:rsidRPr="00B86ACD">
        <w:t>. The average of the daily maximum value of all 47 stations were 62 µgm</w:t>
      </w:r>
      <w:r w:rsidRPr="00B86ACD">
        <w:rPr>
          <w:vertAlign w:val="superscript"/>
        </w:rPr>
        <w:t>-3</w:t>
      </w:r>
      <w:r w:rsidRPr="00B86ACD">
        <w:t xml:space="preserve"> with a maximum 93 µgm</w:t>
      </w:r>
      <w:r w:rsidRPr="00B86ACD">
        <w:rPr>
          <w:vertAlign w:val="superscript"/>
        </w:rPr>
        <w:t>-3</w:t>
      </w:r>
      <w:r w:rsidRPr="00B86ACD">
        <w:t xml:space="preserve"> in Gaziantep and minimum 32 µgm</w:t>
      </w:r>
      <w:r w:rsidRPr="00B86ACD">
        <w:rPr>
          <w:vertAlign w:val="superscript"/>
        </w:rPr>
        <w:t>-3</w:t>
      </w:r>
      <w:r w:rsidR="00A434A5" w:rsidRPr="00B86ACD">
        <w:t xml:space="preserve"> in Eskişehir.</w:t>
      </w:r>
    </w:p>
    <w:p w:rsidR="00A434A5" w:rsidRPr="00B86ACD" w:rsidRDefault="007D3C91" w:rsidP="00775B31">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tr-TR"/>
        </w:rPr>
        <w:drawing>
          <wp:inline distT="0" distB="0" distL="0" distR="0" wp14:anchorId="084A4D34">
            <wp:extent cx="3240000" cy="321840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3218400"/>
                    </a:xfrm>
                    <a:prstGeom prst="rect">
                      <a:avLst/>
                    </a:prstGeom>
                    <a:noFill/>
                  </pic:spPr>
                </pic:pic>
              </a:graphicData>
            </a:graphic>
          </wp:inline>
        </w:drawing>
      </w:r>
    </w:p>
    <w:p w:rsidR="00775B31" w:rsidRPr="00F347FC" w:rsidRDefault="00775B31" w:rsidP="007D3C91">
      <w:pPr>
        <w:pStyle w:val="ResimYazs"/>
        <w:rPr>
          <w:rFonts w:cs="Times New Roman"/>
          <w:szCs w:val="20"/>
          <w:lang w:val="en-GB"/>
        </w:rPr>
      </w:pPr>
      <w:r w:rsidRPr="00F347FC">
        <w:rPr>
          <w:lang w:val="en-GB"/>
        </w:rPr>
        <w:t xml:space="preserve">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3</w:t>
      </w:r>
      <w:r w:rsidRPr="00F347FC">
        <w:rPr>
          <w:lang w:val="en-GB"/>
        </w:rPr>
        <w:fldChar w:fldCharType="end"/>
      </w:r>
      <w:r w:rsidRPr="00F347FC">
        <w:rPr>
          <w:lang w:val="en-GB"/>
        </w:rPr>
        <w:t>. Descriptive statistical values (left panel) and frequency distribution of average value of PM10 concentration (right panel).</w:t>
      </w:r>
    </w:p>
    <w:p w:rsidR="00A434A5" w:rsidRPr="00B86ACD" w:rsidRDefault="00A434A5" w:rsidP="00C031D8">
      <w:pPr>
        <w:pStyle w:val="metin"/>
      </w:pPr>
      <w:r w:rsidRPr="00B86ACD">
        <w:tab/>
        <w:t>Average PM10 value has a rapid drop from the maximum 340 µgm</w:t>
      </w:r>
      <w:r w:rsidRPr="00B86ACD">
        <w:rPr>
          <w:vertAlign w:val="superscript"/>
        </w:rPr>
        <w:t xml:space="preserve">-3 </w:t>
      </w:r>
      <w:r w:rsidRPr="00B86ACD">
        <w:t>to the minimum 11 µgm</w:t>
      </w:r>
      <w:r w:rsidRPr="00B86ACD">
        <w:rPr>
          <w:vertAlign w:val="superscript"/>
        </w:rPr>
        <w:t>-3</w:t>
      </w:r>
      <w:r w:rsidRPr="00B86ACD">
        <w:t xml:space="preserve"> with 95%, 75%, 25% and 5% percentiles, which correspond to 133 µgm</w:t>
      </w:r>
      <w:r w:rsidRPr="00B86ACD">
        <w:rPr>
          <w:vertAlign w:val="superscript"/>
        </w:rPr>
        <w:t>-3</w:t>
      </w:r>
      <w:r w:rsidRPr="00B86ACD">
        <w:t>, 75 µgm</w:t>
      </w:r>
      <w:r w:rsidRPr="00B86ACD">
        <w:rPr>
          <w:vertAlign w:val="superscript"/>
        </w:rPr>
        <w:t>-3</w:t>
      </w:r>
      <w:r w:rsidRPr="00B86ACD">
        <w:t>, 38 µgm</w:t>
      </w:r>
      <w:r w:rsidRPr="00B86ACD">
        <w:rPr>
          <w:vertAlign w:val="superscript"/>
        </w:rPr>
        <w:t>-3</w:t>
      </w:r>
      <w:r w:rsidRPr="00B86ACD">
        <w:t xml:space="preserve"> and 24 µgm</w:t>
      </w:r>
      <w:r w:rsidRPr="00B86ACD">
        <w:rPr>
          <w:vertAlign w:val="superscript"/>
        </w:rPr>
        <w:t>-3</w:t>
      </w:r>
      <w:r w:rsidRPr="00B86ACD">
        <w:t>, respectively. However, 5</w:t>
      </w:r>
      <w:r w:rsidRPr="00B86ACD">
        <w:rPr>
          <w:vertAlign w:val="superscript"/>
        </w:rPr>
        <w:t>th</w:t>
      </w:r>
      <w:r w:rsidRPr="00B86ACD">
        <w:t>-95</w:t>
      </w:r>
      <w:r w:rsidRPr="00B86ACD">
        <w:rPr>
          <w:vertAlign w:val="superscript"/>
        </w:rPr>
        <w:t>th</w:t>
      </w:r>
      <w:r w:rsidRPr="00B86ACD">
        <w:t xml:space="preserve"> and 25</w:t>
      </w:r>
      <w:r w:rsidRPr="00B86ACD">
        <w:rPr>
          <w:vertAlign w:val="superscript"/>
        </w:rPr>
        <w:t>th</w:t>
      </w:r>
      <w:r w:rsidRPr="00B86ACD">
        <w:t>-75</w:t>
      </w:r>
      <w:r w:rsidRPr="00B86ACD">
        <w:rPr>
          <w:vertAlign w:val="superscript"/>
        </w:rPr>
        <w:t>th</w:t>
      </w:r>
      <w:r w:rsidRPr="00B86ACD">
        <w:t xml:space="preserve"> percentile values are 111 µgm</w:t>
      </w:r>
      <w:r w:rsidRPr="00B86ACD">
        <w:rPr>
          <w:vertAlign w:val="superscript"/>
        </w:rPr>
        <w:t>-3</w:t>
      </w:r>
      <w:r w:rsidRPr="00B86ACD">
        <w:t>, 37 µgm</w:t>
      </w:r>
      <w:r w:rsidRPr="00B86ACD">
        <w:rPr>
          <w:vertAlign w:val="superscript"/>
        </w:rPr>
        <w:t>-3</w:t>
      </w:r>
      <w:r w:rsidRPr="00B86ACD">
        <w:t>, respectively. The EU standard limit value (50 µgm</w:t>
      </w:r>
      <w:r w:rsidRPr="00B86ACD">
        <w:rPr>
          <w:vertAlign w:val="superscript"/>
        </w:rPr>
        <w:t>-3</w:t>
      </w:r>
      <w:r w:rsidRPr="00B86ACD">
        <w:t>) exceeding the percentage of PM10 occurred as a minimum in Eskişehir (11%) and as a maximum in Sakarya (81%) with overall average value as 51%. Generally, the results show that the highest PM10 values appear in Gaziantep and Sakarya. On the other hand</w:t>
      </w:r>
      <w:r w:rsidR="00E34361" w:rsidRPr="00B86ACD">
        <w:t>, Eskişehir and Samsun</w:t>
      </w:r>
      <w:r w:rsidRPr="00B86ACD">
        <w:t xml:space="preserve"> had the lowest PM10 concentrations. The lower and higher standard deviations are 16 µgm</w:t>
      </w:r>
      <w:r w:rsidRPr="00B86ACD">
        <w:rPr>
          <w:vertAlign w:val="superscript"/>
        </w:rPr>
        <w:t xml:space="preserve">-3 </w:t>
      </w:r>
      <w:r w:rsidRPr="00B86ACD">
        <w:t>and 63 µgm</w:t>
      </w:r>
      <w:r w:rsidRPr="00B86ACD">
        <w:rPr>
          <w:vertAlign w:val="superscript"/>
        </w:rPr>
        <w:t xml:space="preserve">-3 </w:t>
      </w:r>
      <w:r w:rsidRPr="00B86ACD">
        <w:t>for Samsun and Gaziantep, respectively</w:t>
      </w:r>
      <w:r w:rsidR="00E34361" w:rsidRPr="00B86ACD">
        <w:t>,</w:t>
      </w:r>
      <w:r w:rsidRPr="00B86ACD">
        <w:t xml:space="preserve"> with</w:t>
      </w:r>
      <w:r w:rsidR="00E34361" w:rsidRPr="00B86ACD">
        <w:t xml:space="preserve"> the</w:t>
      </w:r>
      <w:r w:rsidRPr="00B86ACD">
        <w:t xml:space="preserve"> average of 37 µgm</w:t>
      </w:r>
      <w:r w:rsidRPr="00B86ACD">
        <w:rPr>
          <w:vertAlign w:val="superscript"/>
        </w:rPr>
        <w:t xml:space="preserve">-3 </w:t>
      </w:r>
      <w:r w:rsidRPr="00B86ACD">
        <w:t>in the metropolitan areas. The highest and lowest skewness values are 1 µgm</w:t>
      </w:r>
      <w:r w:rsidRPr="00B86ACD">
        <w:rPr>
          <w:vertAlign w:val="superscript"/>
        </w:rPr>
        <w:t xml:space="preserve">-3 </w:t>
      </w:r>
      <w:r w:rsidRPr="00B86ACD">
        <w:t>and 6 µgm</w:t>
      </w:r>
      <w:r w:rsidR="00D6304F" w:rsidRPr="00B86ACD">
        <w:rPr>
          <w:vertAlign w:val="superscript"/>
        </w:rPr>
        <w:t>-3</w:t>
      </w:r>
      <w:r w:rsidR="00D6304F" w:rsidRPr="00B86ACD">
        <w:t>, respectively. T</w:t>
      </w:r>
      <w:r w:rsidR="00E34361" w:rsidRPr="00B86ACD">
        <w:t>he</w:t>
      </w:r>
      <w:r w:rsidRPr="00B86ACD">
        <w:t xml:space="preserve"> average</w:t>
      </w:r>
      <w:r w:rsidR="00D6304F" w:rsidRPr="00B86ACD">
        <w:t xml:space="preserve"> skewness value is </w:t>
      </w:r>
      <w:r w:rsidRPr="00B86ACD">
        <w:t>2 µgm</w:t>
      </w:r>
      <w:r w:rsidR="00E34361" w:rsidRPr="00B86ACD">
        <w:rPr>
          <w:vertAlign w:val="superscript"/>
        </w:rPr>
        <w:t>-3</w:t>
      </w:r>
      <w:r w:rsidR="00E34361" w:rsidRPr="00B86ACD">
        <w:t>,</w:t>
      </w:r>
      <w:r w:rsidR="005966D0" w:rsidRPr="00B86ACD">
        <w:t xml:space="preserve"> that</w:t>
      </w:r>
      <w:r w:rsidR="00D6304F" w:rsidRPr="00B86ACD">
        <w:t xml:space="preserve"> </w:t>
      </w:r>
      <w:r w:rsidRPr="00B86ACD">
        <w:t>means</w:t>
      </w:r>
      <w:r w:rsidR="00D6304F" w:rsidRPr="00B86ACD">
        <w:t xml:space="preserve"> lower</w:t>
      </w:r>
      <w:r w:rsidRPr="00B86ACD">
        <w:t xml:space="preserve"> PM10</w:t>
      </w:r>
      <w:r w:rsidR="00D6304F" w:rsidRPr="00B86ACD">
        <w:t xml:space="preserve"> values are</w:t>
      </w:r>
      <w:r w:rsidRPr="00B86ACD">
        <w:t xml:space="preserve"> dominant. The coefficient of skewness for all stations is positive, which means that the frequency distribution has a long tail extending the higher values (Fig. 3, right panel). Furthermore, the coefficient of kurtosis positive values were 1 µgm</w:t>
      </w:r>
      <w:r w:rsidRPr="00B86ACD">
        <w:rPr>
          <w:vertAlign w:val="superscript"/>
        </w:rPr>
        <w:t>-3</w:t>
      </w:r>
      <w:r w:rsidRPr="00B86ACD">
        <w:t>, 12 µgm</w:t>
      </w:r>
      <w:r w:rsidRPr="00B86ACD">
        <w:rPr>
          <w:vertAlign w:val="superscript"/>
        </w:rPr>
        <w:t>-3</w:t>
      </w:r>
      <w:r w:rsidRPr="00B86ACD">
        <w:t>and 67 µgm</w:t>
      </w:r>
      <w:r w:rsidRPr="00B86ACD">
        <w:rPr>
          <w:vertAlign w:val="superscript"/>
        </w:rPr>
        <w:t>-3</w:t>
      </w:r>
      <w:r w:rsidRPr="00B86ACD">
        <w:t>, for minimum, average and maximum</w:t>
      </w:r>
      <w:r w:rsidR="005966D0" w:rsidRPr="00B86ACD">
        <w:t xml:space="preserve"> values</w:t>
      </w:r>
      <w:r w:rsidRPr="00B86ACD">
        <w:t>, respectively. These kurtosis values imply that the distribution has a sharp peak and relative concentration in the center (see Table 1). The frequency distribution of PM10 concentrations are also given in Table 1 for intervals of 20 µgm</w:t>
      </w:r>
      <w:r w:rsidRPr="00B86ACD">
        <w:rPr>
          <w:vertAlign w:val="superscript"/>
        </w:rPr>
        <w:t>-3</w:t>
      </w:r>
      <w:r w:rsidRPr="00B86ACD">
        <w:t>. A peak in the distribution of daily PM10 concentration occurs most frequently as 31% within 40-60 µgm</w:t>
      </w:r>
      <w:r w:rsidRPr="00B86ACD">
        <w:rPr>
          <w:vertAlign w:val="superscript"/>
        </w:rPr>
        <w:t>-3</w:t>
      </w:r>
      <w:r w:rsidRPr="00B86ACD">
        <w:t xml:space="preserve"> range and then 28% in the range 20-40 µgm</w:t>
      </w:r>
      <w:r w:rsidRPr="00B86ACD">
        <w:rPr>
          <w:vertAlign w:val="superscript"/>
        </w:rPr>
        <w:t>-3</w:t>
      </w:r>
      <w:r w:rsidRPr="00B86ACD">
        <w:t>, 16% between 60–80 µgm</w:t>
      </w:r>
      <w:r w:rsidRPr="00B86ACD">
        <w:rPr>
          <w:vertAlign w:val="superscript"/>
        </w:rPr>
        <w:t>-3</w:t>
      </w:r>
      <w:r w:rsidRPr="00B86ACD">
        <w:t>, 8% within the range, 80–100 µgm</w:t>
      </w:r>
      <w:r w:rsidRPr="00B86ACD">
        <w:rPr>
          <w:vertAlign w:val="superscript"/>
        </w:rPr>
        <w:t>-3</w:t>
      </w:r>
      <w:r w:rsidRPr="00B86ACD">
        <w:t>, 5% in the range of 100–120 µgm</w:t>
      </w:r>
      <w:r w:rsidRPr="00B86ACD">
        <w:rPr>
          <w:vertAlign w:val="superscript"/>
        </w:rPr>
        <w:t>-3</w:t>
      </w:r>
      <w:r w:rsidRPr="00B86ACD">
        <w:t>, 4% within the range of 0–20 µgm</w:t>
      </w:r>
      <w:r w:rsidRPr="00B86ACD">
        <w:rPr>
          <w:vertAlign w:val="superscript"/>
        </w:rPr>
        <w:t>-3</w:t>
      </w:r>
      <w:r w:rsidRPr="00B86ACD">
        <w:t xml:space="preserve"> and the remainder were more than 120 µgm</w:t>
      </w:r>
      <w:r w:rsidRPr="00B86ACD">
        <w:rPr>
          <w:vertAlign w:val="superscript"/>
        </w:rPr>
        <w:t>-3</w:t>
      </w:r>
      <w:r w:rsidRPr="00B86ACD">
        <w:t xml:space="preserve"> (Fig. 3, right panel). </w:t>
      </w:r>
    </w:p>
    <w:p w:rsidR="0038619D" w:rsidRPr="00B86ACD" w:rsidRDefault="0038619D" w:rsidP="007474FB">
      <w:pPr>
        <w:spacing w:after="0" w:line="240" w:lineRule="auto"/>
        <w:ind w:firstLine="340"/>
        <w:jc w:val="both"/>
        <w:rPr>
          <w:rFonts w:ascii="Times New Roman" w:hAnsi="Times New Roman" w:cs="Times New Roman"/>
          <w:sz w:val="20"/>
          <w:szCs w:val="20"/>
          <w:lang w:val="en-US"/>
        </w:rPr>
        <w:sectPr w:rsidR="0038619D" w:rsidRPr="00B86ACD" w:rsidSect="00731ACB">
          <w:type w:val="continuous"/>
          <w:pgSz w:w="11906" w:h="16838" w:code="9"/>
          <w:pgMar w:top="851" w:right="851" w:bottom="851" w:left="851" w:header="454" w:footer="454" w:gutter="0"/>
          <w:cols w:num="2" w:space="340"/>
          <w:docGrid w:linePitch="360" w:charSpace="-2458"/>
        </w:sectPr>
      </w:pPr>
    </w:p>
    <w:p w:rsidR="0038619D" w:rsidRPr="00F347FC" w:rsidRDefault="0038619D" w:rsidP="0038619D">
      <w:pPr>
        <w:pStyle w:val="ResimYazs"/>
        <w:rPr>
          <w:lang w:val="en-GB"/>
        </w:rPr>
      </w:pPr>
      <w:r w:rsidRPr="00F347FC">
        <w:rPr>
          <w:lang w:val="en-GB"/>
        </w:rPr>
        <w:t xml:space="preserve">Table </w:t>
      </w:r>
      <w:r w:rsidRPr="00F347FC">
        <w:rPr>
          <w:lang w:val="en-GB"/>
        </w:rPr>
        <w:fldChar w:fldCharType="begin"/>
      </w:r>
      <w:r w:rsidRPr="00F347FC">
        <w:rPr>
          <w:lang w:val="en-GB"/>
        </w:rPr>
        <w:instrText xml:space="preserve"> SEQ Table \* ARABIC </w:instrText>
      </w:r>
      <w:r w:rsidRPr="00F347FC">
        <w:rPr>
          <w:lang w:val="en-GB"/>
        </w:rPr>
        <w:fldChar w:fldCharType="separate"/>
      </w:r>
      <w:r w:rsidR="00DC4EA5">
        <w:rPr>
          <w:noProof/>
          <w:lang w:val="en-GB"/>
        </w:rPr>
        <w:t>1</w:t>
      </w:r>
      <w:r w:rsidRPr="00F347FC">
        <w:rPr>
          <w:lang w:val="en-GB"/>
        </w:rPr>
        <w:fldChar w:fldCharType="end"/>
      </w:r>
      <w:r w:rsidRPr="00F347FC">
        <w:rPr>
          <w:lang w:val="en-GB"/>
        </w:rPr>
        <w:t>. Descriptive statistical values (left panel) and frequency distribution of average value of PM10 concentration (right panel).</w:t>
      </w:r>
    </w:p>
    <w:tbl>
      <w:tblPr>
        <w:tblW w:w="9842" w:type="dxa"/>
        <w:tblInd w:w="55" w:type="dxa"/>
        <w:tblCellMar>
          <w:left w:w="70" w:type="dxa"/>
          <w:right w:w="70" w:type="dxa"/>
        </w:tblCellMar>
        <w:tblLook w:val="04A0" w:firstRow="1" w:lastRow="0" w:firstColumn="1" w:lastColumn="0" w:noHBand="0" w:noVBand="1"/>
      </w:tblPr>
      <w:tblGrid>
        <w:gridCol w:w="940"/>
        <w:gridCol w:w="340"/>
        <w:gridCol w:w="523"/>
        <w:gridCol w:w="401"/>
        <w:gridCol w:w="401"/>
        <w:gridCol w:w="401"/>
        <w:gridCol w:w="332"/>
        <w:gridCol w:w="332"/>
        <w:gridCol w:w="332"/>
        <w:gridCol w:w="332"/>
        <w:gridCol w:w="332"/>
        <w:gridCol w:w="332"/>
        <w:gridCol w:w="462"/>
        <w:gridCol w:w="462"/>
        <w:gridCol w:w="160"/>
        <w:gridCol w:w="404"/>
        <w:gridCol w:w="404"/>
        <w:gridCol w:w="404"/>
        <w:gridCol w:w="404"/>
        <w:gridCol w:w="404"/>
        <w:gridCol w:w="404"/>
        <w:gridCol w:w="334"/>
        <w:gridCol w:w="334"/>
        <w:gridCol w:w="334"/>
        <w:gridCol w:w="334"/>
      </w:tblGrid>
      <w:tr w:rsidR="00A6428B" w:rsidRPr="000347BD" w:rsidTr="00A6428B">
        <w:trPr>
          <w:trHeight w:val="300"/>
        </w:trPr>
        <w:tc>
          <w:tcPr>
            <w:tcW w:w="940" w:type="dxa"/>
            <w:tcBorders>
              <w:top w:val="single" w:sz="4" w:space="0" w:color="auto"/>
              <w:left w:val="nil"/>
              <w:bottom w:val="nil"/>
              <w:right w:val="nil"/>
            </w:tcBorders>
            <w:shd w:val="clear" w:color="000000" w:fill="FFFFFF"/>
            <w:noWrap/>
            <w:vAlign w:val="bottom"/>
            <w:hideMark/>
          </w:tcPr>
          <w:p w:rsidR="00A6428B" w:rsidRPr="000347BD" w:rsidRDefault="00A6428B" w:rsidP="000D2DB7">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PM10</w:t>
            </w:r>
          </w:p>
        </w:tc>
        <w:tc>
          <w:tcPr>
            <w:tcW w:w="340" w:type="dxa"/>
            <w:tcBorders>
              <w:top w:val="single" w:sz="4" w:space="0" w:color="auto"/>
              <w:left w:val="nil"/>
              <w:bottom w:val="nil"/>
              <w:right w:val="nil"/>
            </w:tcBorders>
            <w:shd w:val="clear" w:color="000000" w:fill="FFFFFF"/>
            <w:noWrap/>
            <w:vAlign w:val="bottom"/>
            <w:hideMark/>
          </w:tcPr>
          <w:p w:rsidR="00A6428B" w:rsidRPr="000347BD" w:rsidRDefault="00A6428B" w:rsidP="000D2DB7">
            <w:pPr>
              <w:suppressAutoHyphens w:val="0"/>
              <w:spacing w:after="0" w:line="240" w:lineRule="auto"/>
              <w:jc w:val="center"/>
              <w:rPr>
                <w:rFonts w:ascii="Times New Roman" w:eastAsia="Times New Roman" w:hAnsi="Times New Roman" w:cs="Times New Roman"/>
                <w:b/>
                <w:bCs/>
                <w:kern w:val="0"/>
                <w:sz w:val="16"/>
                <w:szCs w:val="16"/>
                <w:lang w:val="en-GB" w:eastAsia="ja-JP"/>
              </w:rPr>
            </w:pPr>
          </w:p>
        </w:tc>
        <w:tc>
          <w:tcPr>
            <w:tcW w:w="4642" w:type="dxa"/>
            <w:gridSpan w:val="12"/>
            <w:tcBorders>
              <w:top w:val="single" w:sz="4" w:space="0" w:color="auto"/>
              <w:left w:val="nil"/>
              <w:bottom w:val="single" w:sz="4" w:space="0" w:color="auto"/>
              <w:right w:val="nil"/>
            </w:tcBorders>
            <w:shd w:val="clear" w:color="000000" w:fill="FFFFFF"/>
            <w:noWrap/>
            <w:vAlign w:val="bottom"/>
            <w:hideMark/>
          </w:tcPr>
          <w:p w:rsidR="00A6428B" w:rsidRPr="000347BD" w:rsidRDefault="00A6428B" w:rsidP="000D2DB7">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Descriptive statistics</w:t>
            </w:r>
          </w:p>
        </w:tc>
        <w:tc>
          <w:tcPr>
            <w:tcW w:w="160" w:type="dxa"/>
            <w:vMerge w:val="restart"/>
            <w:tcBorders>
              <w:top w:val="single" w:sz="4" w:space="0" w:color="auto"/>
              <w:left w:val="nil"/>
              <w:bottom w:val="single" w:sz="4" w:space="0" w:color="000000"/>
              <w:right w:val="nil"/>
            </w:tcBorders>
            <w:shd w:val="clear" w:color="000000" w:fill="DDD9C4"/>
            <w:noWrap/>
            <w:vAlign w:val="bottom"/>
            <w:hideMark/>
          </w:tcPr>
          <w:p w:rsidR="00A6428B" w:rsidRPr="000347BD" w:rsidRDefault="00A6428B" w:rsidP="000D2DB7">
            <w:pPr>
              <w:suppressAutoHyphens w:val="0"/>
              <w:spacing w:after="0" w:line="240" w:lineRule="auto"/>
              <w:jc w:val="center"/>
              <w:rPr>
                <w:rFonts w:ascii="Times New Roman" w:eastAsia="Times New Roman" w:hAnsi="Times New Roman" w:cs="Times New Roman"/>
                <w:b/>
                <w:bCs/>
                <w:kern w:val="0"/>
                <w:sz w:val="16"/>
                <w:szCs w:val="16"/>
                <w:lang w:val="en-GB" w:eastAsia="ja-JP"/>
              </w:rPr>
            </w:pPr>
          </w:p>
        </w:tc>
        <w:tc>
          <w:tcPr>
            <w:tcW w:w="3760" w:type="dxa"/>
            <w:gridSpan w:val="10"/>
            <w:tcBorders>
              <w:top w:val="single" w:sz="4" w:space="0" w:color="auto"/>
              <w:left w:val="nil"/>
              <w:bottom w:val="single" w:sz="4" w:space="0" w:color="auto"/>
              <w:right w:val="nil"/>
            </w:tcBorders>
            <w:shd w:val="clear" w:color="000000" w:fill="FFFFFF"/>
            <w:noWrap/>
            <w:vAlign w:val="bottom"/>
            <w:hideMark/>
          </w:tcPr>
          <w:p w:rsidR="00A6428B" w:rsidRPr="000347BD" w:rsidRDefault="00A6428B" w:rsidP="000D2DB7">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Frequency histograms</w:t>
            </w:r>
          </w:p>
        </w:tc>
      </w:tr>
      <w:tr w:rsidR="00A6428B" w:rsidRPr="000347BD" w:rsidTr="00A6428B">
        <w:trPr>
          <w:trHeight w:val="799"/>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City</w:t>
            </w:r>
          </w:p>
        </w:tc>
        <w:tc>
          <w:tcPr>
            <w:tcW w:w="340"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NS</w:t>
            </w:r>
          </w:p>
        </w:tc>
        <w:tc>
          <w:tcPr>
            <w:tcW w:w="523"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DAD</w:t>
            </w:r>
          </w:p>
        </w:tc>
        <w:tc>
          <w:tcPr>
            <w:tcW w:w="401"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Max</w:t>
            </w:r>
          </w:p>
        </w:tc>
        <w:tc>
          <w:tcPr>
            <w:tcW w:w="401"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95%</w:t>
            </w:r>
          </w:p>
        </w:tc>
        <w:tc>
          <w:tcPr>
            <w:tcW w:w="401"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75%</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Average</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25%</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5%</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Min</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Std</w:t>
            </w:r>
          </w:p>
        </w:tc>
        <w:tc>
          <w:tcPr>
            <w:tcW w:w="33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Skw</w:t>
            </w:r>
          </w:p>
        </w:tc>
        <w:tc>
          <w:tcPr>
            <w:tcW w:w="46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Kur</w:t>
            </w:r>
          </w:p>
        </w:tc>
        <w:tc>
          <w:tcPr>
            <w:tcW w:w="462"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&gt;50 %</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0-20</w:t>
            </w: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20-40</w:t>
            </w: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40-60</w:t>
            </w: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60-80</w:t>
            </w: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80-100</w:t>
            </w:r>
          </w:p>
        </w:tc>
        <w:tc>
          <w:tcPr>
            <w:tcW w:w="40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100-120</w:t>
            </w:r>
          </w:p>
        </w:tc>
        <w:tc>
          <w:tcPr>
            <w:tcW w:w="33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120-140</w:t>
            </w:r>
          </w:p>
        </w:tc>
        <w:tc>
          <w:tcPr>
            <w:tcW w:w="33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140-160</w:t>
            </w:r>
          </w:p>
        </w:tc>
        <w:tc>
          <w:tcPr>
            <w:tcW w:w="33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160-180</w:t>
            </w:r>
          </w:p>
        </w:tc>
        <w:tc>
          <w:tcPr>
            <w:tcW w:w="334" w:type="dxa"/>
            <w:tcBorders>
              <w:top w:val="nil"/>
              <w:left w:val="nil"/>
              <w:bottom w:val="nil"/>
              <w:right w:val="nil"/>
            </w:tcBorders>
            <w:shd w:val="clear" w:color="000000" w:fill="FFFFFF"/>
            <w:noWrap/>
            <w:textDirection w:val="btLr"/>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&gt;180</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Adana</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1079</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343</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92</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23,9</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0,45</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44</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296</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469</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178</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Ankara</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1084</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259</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155</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68</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38</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0,56</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24</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286</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285</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180</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103</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70</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58</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31</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26</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Antalya</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1033</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287</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138</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38</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5,2</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0,52</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255</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385</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39</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26</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Bursa</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502</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217</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133</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72</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0,53</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137</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171</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88</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38</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Diyarbakır</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792</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555</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169</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18,8</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0,74</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90</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223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157</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119</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78</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55</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30</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Erzurum</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1029</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585</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150</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68</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59</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20,9</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0,42</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99</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338</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264</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143</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60</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22</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Eskişehir</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827</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216</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61</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17,3</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0,11</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159</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31</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Gaziantep</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1047</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631</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209</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123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7,5</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0,74</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45</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137</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172</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191</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120</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113</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67</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74</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91</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Mersin</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995</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594</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102</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67,3</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0,57</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206</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399</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230</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91</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İstanbul</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1084</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161</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98</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61</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0,40</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28</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421</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355</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149</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84</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35</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İzmir</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1084</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186</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98</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58</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50</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35</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25</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5,1</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0,39</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395</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427</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136</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60</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Kayseri</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1084</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297</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167</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85</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69</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0,55</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334</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271</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172</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102</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62</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39</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46</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Kocaeli</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1076</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207</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135</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79</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65</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28</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0,61</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238</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233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102</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70</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38</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22</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Konya</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1053</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422</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172</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77</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65</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12</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52</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9,3</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0,49</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51</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335</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270</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156</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82</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44</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22</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49</w:t>
            </w:r>
          </w:p>
        </w:tc>
      </w:tr>
      <w:tr w:rsidR="00A6428B" w:rsidRPr="000347BD" w:rsidTr="00A6428B">
        <w:trPr>
          <w:trHeight w:val="282"/>
        </w:trPr>
        <w:tc>
          <w:tcPr>
            <w:tcW w:w="9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Sakarya</w:t>
            </w:r>
          </w:p>
        </w:tc>
        <w:tc>
          <w:tcPr>
            <w:tcW w:w="340"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523"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986</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362</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171</w:t>
            </w:r>
          </w:p>
        </w:tc>
        <w:tc>
          <w:tcPr>
            <w:tcW w:w="401"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98</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83</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54</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39</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18</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45</w:t>
            </w:r>
          </w:p>
        </w:tc>
        <w:tc>
          <w:tcPr>
            <w:tcW w:w="33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5,3</w:t>
            </w:r>
          </w:p>
        </w:tc>
        <w:tc>
          <w:tcPr>
            <w:tcW w:w="462"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0,81</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61</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293</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266</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127</w:t>
            </w:r>
          </w:p>
        </w:tc>
        <w:tc>
          <w:tcPr>
            <w:tcW w:w="40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79</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61</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32</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21</w:t>
            </w:r>
          </w:p>
        </w:tc>
        <w:tc>
          <w:tcPr>
            <w:tcW w:w="334" w:type="dxa"/>
            <w:tcBorders>
              <w:top w:val="nil"/>
              <w:left w:val="nil"/>
              <w:bottom w:val="nil"/>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45</w:t>
            </w:r>
          </w:p>
        </w:tc>
      </w:tr>
      <w:tr w:rsidR="00A6428B" w:rsidRPr="000347BD" w:rsidTr="00A6428B">
        <w:trPr>
          <w:trHeight w:val="282"/>
        </w:trPr>
        <w:tc>
          <w:tcPr>
            <w:tcW w:w="9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Samsun</w:t>
            </w:r>
          </w:p>
        </w:tc>
        <w:tc>
          <w:tcPr>
            <w:tcW w:w="340"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center"/>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w:t>
            </w:r>
          </w:p>
        </w:tc>
        <w:tc>
          <w:tcPr>
            <w:tcW w:w="523"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1050</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115</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77</w:t>
            </w:r>
          </w:p>
        </w:tc>
        <w:tc>
          <w:tcPr>
            <w:tcW w:w="401"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54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46</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34</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25</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16</w:t>
            </w:r>
          </w:p>
        </w:tc>
        <w:tc>
          <w:tcPr>
            <w:tcW w:w="33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1,4</w:t>
            </w:r>
          </w:p>
        </w:tc>
        <w:tc>
          <w:tcPr>
            <w:tcW w:w="462"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0,33</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19</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435</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419</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138</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33</w:t>
            </w:r>
          </w:p>
        </w:tc>
        <w:tc>
          <w:tcPr>
            <w:tcW w:w="40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6</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c>
          <w:tcPr>
            <w:tcW w:w="334" w:type="dxa"/>
            <w:tcBorders>
              <w:top w:val="nil"/>
              <w:left w:val="nil"/>
              <w:bottom w:val="nil"/>
              <w:right w:val="nil"/>
            </w:tcBorders>
            <w:shd w:val="clear" w:color="000000" w:fill="FFFFFF"/>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kern w:val="0"/>
                <w:sz w:val="16"/>
                <w:szCs w:val="16"/>
                <w:lang w:val="en-GB" w:eastAsia="ja-JP"/>
              </w:rPr>
            </w:pPr>
            <w:r w:rsidRPr="000347BD">
              <w:rPr>
                <w:rFonts w:ascii="Times New Roman" w:eastAsia="Times New Roman" w:hAnsi="Times New Roman" w:cs="Times New Roman"/>
                <w:kern w:val="0"/>
                <w:sz w:val="16"/>
                <w:szCs w:val="16"/>
                <w:lang w:val="en-GB" w:eastAsia="ja-JP"/>
              </w:rPr>
              <w:t>0</w:t>
            </w:r>
          </w:p>
        </w:tc>
      </w:tr>
      <w:tr w:rsidR="00A6428B" w:rsidRPr="000347BD" w:rsidTr="00A6428B">
        <w:trPr>
          <w:trHeight w:val="282"/>
        </w:trPr>
        <w:tc>
          <w:tcPr>
            <w:tcW w:w="940"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Average</w:t>
            </w:r>
          </w:p>
        </w:tc>
        <w:tc>
          <w:tcPr>
            <w:tcW w:w="340"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 </w:t>
            </w:r>
          </w:p>
        </w:tc>
        <w:tc>
          <w:tcPr>
            <w:tcW w:w="523"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988</w:t>
            </w:r>
          </w:p>
        </w:tc>
        <w:tc>
          <w:tcPr>
            <w:tcW w:w="401"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340</w:t>
            </w:r>
          </w:p>
        </w:tc>
        <w:tc>
          <w:tcPr>
            <w:tcW w:w="401"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133</w:t>
            </w:r>
          </w:p>
        </w:tc>
        <w:tc>
          <w:tcPr>
            <w:tcW w:w="401"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75</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62</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38</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24</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11</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37</w:t>
            </w:r>
          </w:p>
        </w:tc>
        <w:tc>
          <w:tcPr>
            <w:tcW w:w="33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w:t>
            </w:r>
          </w:p>
        </w:tc>
        <w:tc>
          <w:tcPr>
            <w:tcW w:w="46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12,2</w:t>
            </w:r>
          </w:p>
        </w:tc>
        <w:tc>
          <w:tcPr>
            <w:tcW w:w="462"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0,51</w:t>
            </w:r>
          </w:p>
        </w:tc>
        <w:tc>
          <w:tcPr>
            <w:tcW w:w="160" w:type="dxa"/>
            <w:vMerge/>
            <w:tcBorders>
              <w:top w:val="single" w:sz="4" w:space="0" w:color="auto"/>
              <w:left w:val="nil"/>
              <w:bottom w:val="single" w:sz="4" w:space="0" w:color="000000"/>
              <w:right w:val="nil"/>
            </w:tcBorders>
            <w:vAlign w:val="center"/>
            <w:hideMark/>
          </w:tcPr>
          <w:p w:rsidR="00A6428B" w:rsidRPr="000347BD" w:rsidRDefault="00A6428B" w:rsidP="00A6428B">
            <w:pPr>
              <w:suppressAutoHyphens w:val="0"/>
              <w:spacing w:after="0" w:line="240" w:lineRule="auto"/>
              <w:rPr>
                <w:rFonts w:ascii="Times New Roman" w:eastAsia="Times New Roman" w:hAnsi="Times New Roman" w:cs="Times New Roman"/>
                <w:b/>
                <w:bCs/>
                <w:kern w:val="0"/>
                <w:sz w:val="16"/>
                <w:szCs w:val="16"/>
                <w:lang w:val="en-GB" w:eastAsia="ja-JP"/>
              </w:rPr>
            </w:pP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38</w:t>
            </w: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274</w:t>
            </w: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307</w:t>
            </w: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163</w:t>
            </w: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79</w:t>
            </w:r>
          </w:p>
        </w:tc>
        <w:tc>
          <w:tcPr>
            <w:tcW w:w="40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45</w:t>
            </w:r>
          </w:p>
        </w:tc>
        <w:tc>
          <w:tcPr>
            <w:tcW w:w="33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28</w:t>
            </w:r>
          </w:p>
        </w:tc>
        <w:tc>
          <w:tcPr>
            <w:tcW w:w="33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19</w:t>
            </w:r>
          </w:p>
        </w:tc>
        <w:tc>
          <w:tcPr>
            <w:tcW w:w="33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12</w:t>
            </w:r>
          </w:p>
        </w:tc>
        <w:tc>
          <w:tcPr>
            <w:tcW w:w="334" w:type="dxa"/>
            <w:tcBorders>
              <w:top w:val="nil"/>
              <w:left w:val="nil"/>
              <w:bottom w:val="single" w:sz="4" w:space="0" w:color="auto"/>
              <w:right w:val="nil"/>
            </w:tcBorders>
            <w:shd w:val="clear" w:color="000000" w:fill="EEECE1"/>
            <w:noWrap/>
            <w:vAlign w:val="bottom"/>
            <w:hideMark/>
          </w:tcPr>
          <w:p w:rsidR="00A6428B" w:rsidRPr="000347BD" w:rsidRDefault="00A6428B" w:rsidP="00A6428B">
            <w:pPr>
              <w:suppressAutoHyphens w:val="0"/>
              <w:spacing w:after="0" w:line="240" w:lineRule="auto"/>
              <w:jc w:val="right"/>
              <w:rPr>
                <w:rFonts w:ascii="Times New Roman" w:eastAsia="Times New Roman" w:hAnsi="Times New Roman" w:cs="Times New Roman"/>
                <w:b/>
                <w:bCs/>
                <w:kern w:val="0"/>
                <w:sz w:val="16"/>
                <w:szCs w:val="16"/>
                <w:lang w:val="en-GB" w:eastAsia="ja-JP"/>
              </w:rPr>
            </w:pPr>
            <w:r w:rsidRPr="000347BD">
              <w:rPr>
                <w:rFonts w:ascii="Times New Roman" w:eastAsia="Times New Roman" w:hAnsi="Times New Roman" w:cs="Times New Roman"/>
                <w:b/>
                <w:bCs/>
                <w:kern w:val="0"/>
                <w:sz w:val="16"/>
                <w:szCs w:val="16"/>
                <w:lang w:val="en-GB" w:eastAsia="ja-JP"/>
              </w:rPr>
              <w:t>23</w:t>
            </w:r>
          </w:p>
        </w:tc>
      </w:tr>
    </w:tbl>
    <w:p w:rsidR="00747669" w:rsidRPr="00B86ACD" w:rsidRDefault="00747669" w:rsidP="007474FB">
      <w:pPr>
        <w:spacing w:after="0" w:line="240" w:lineRule="auto"/>
        <w:ind w:firstLine="340"/>
        <w:jc w:val="both"/>
        <w:rPr>
          <w:rFonts w:ascii="Times New Roman" w:hAnsi="Times New Roman" w:cs="Times New Roman"/>
          <w:sz w:val="20"/>
          <w:szCs w:val="20"/>
          <w:lang w:val="en-US"/>
        </w:rPr>
      </w:pPr>
    </w:p>
    <w:p w:rsidR="0038619D" w:rsidRPr="00B86ACD" w:rsidRDefault="0038619D" w:rsidP="00BE34EF">
      <w:pPr>
        <w:spacing w:after="0" w:line="240" w:lineRule="auto"/>
        <w:jc w:val="both"/>
        <w:rPr>
          <w:rFonts w:ascii="Times New Roman" w:hAnsi="Times New Roman" w:cs="Times New Roman"/>
          <w:sz w:val="20"/>
          <w:szCs w:val="20"/>
          <w:lang w:val="en-US"/>
        </w:rPr>
        <w:sectPr w:rsidR="0038619D" w:rsidRPr="00B86ACD" w:rsidSect="00731ACB">
          <w:type w:val="continuous"/>
          <w:pgSz w:w="11906" w:h="16838" w:code="9"/>
          <w:pgMar w:top="851" w:right="851" w:bottom="851" w:left="851" w:header="454" w:footer="454" w:gutter="0"/>
          <w:cols w:space="340"/>
          <w:docGrid w:linePitch="360" w:charSpace="-2458"/>
        </w:sectPr>
      </w:pPr>
    </w:p>
    <w:p w:rsidR="00E755B2" w:rsidRPr="00B86ACD" w:rsidRDefault="00E755B2" w:rsidP="00B86ACD">
      <w:pPr>
        <w:pStyle w:val="Basliklar2"/>
      </w:pPr>
      <w:r w:rsidRPr="00B86ACD">
        <w:t>3.2 The statistical characteristics of SO</w:t>
      </w:r>
      <w:r w:rsidRPr="00A6428B">
        <w:rPr>
          <w:vertAlign w:val="subscript"/>
        </w:rPr>
        <w:t>2</w:t>
      </w:r>
      <w:r w:rsidRPr="00B86ACD">
        <w:t xml:space="preserve"> concentration</w:t>
      </w:r>
    </w:p>
    <w:p w:rsidR="00B86ACD" w:rsidRDefault="00E755B2" w:rsidP="00C031D8">
      <w:pPr>
        <w:pStyle w:val="metin"/>
      </w:pPr>
      <w:r w:rsidRPr="00B86ACD">
        <w:t>Sulphur dioxide (SO</w:t>
      </w:r>
      <w:r w:rsidRPr="00B86ACD">
        <w:rPr>
          <w:vertAlign w:val="subscript"/>
        </w:rPr>
        <w:t>2</w:t>
      </w:r>
      <w:r w:rsidRPr="00B86ACD">
        <w:t xml:space="preserve">) has an unpleasant, toxic, sharp smell and can be changed into harmful compounds like sulphuric acid. It is mainly emitted from </w:t>
      </w:r>
      <w:r w:rsidR="005966D0" w:rsidRPr="00B86ACD">
        <w:t xml:space="preserve">house heating </w:t>
      </w:r>
      <w:r w:rsidRPr="00B86ACD">
        <w:t>and industrial activities</w:t>
      </w:r>
      <w:r w:rsidR="005966D0" w:rsidRPr="00B86ACD">
        <w:t xml:space="preserve"> in metropolitan areas by burning low quality fuels</w:t>
      </w:r>
      <w:r w:rsidRPr="00B86ACD">
        <w:t xml:space="preserve"> like coal</w:t>
      </w:r>
      <w:r w:rsidR="008B5F73" w:rsidRPr="00B86ACD">
        <w:t>s having</w:t>
      </w:r>
      <w:r w:rsidRPr="00B86ACD">
        <w:t xml:space="preserve"> high sulphur content. </w:t>
      </w:r>
      <w:r w:rsidR="002B5E2D" w:rsidRPr="00B86ACD">
        <w:t>Generally, direct effect of SO2 irritates nose and throat.</w:t>
      </w:r>
      <w:r w:rsidRPr="00B86ACD">
        <w:t xml:space="preserve"> Descriptive statistics </w:t>
      </w:r>
      <w:r w:rsidR="008B5F73" w:rsidRPr="00B86ACD">
        <w:t>are</w:t>
      </w:r>
      <w:r w:rsidRPr="00B86ACD">
        <w:t xml:space="preserve"> presented for SO</w:t>
      </w:r>
      <w:r w:rsidRPr="00B86ACD">
        <w:rPr>
          <w:vertAlign w:val="subscript"/>
        </w:rPr>
        <w:t>2</w:t>
      </w:r>
      <w:r w:rsidRPr="00B86ACD">
        <w:t xml:space="preserve"> concentrations in order to assess its contribution to the levels of air quality. The data were derived from 50 ambient air quality monitoring stations in sixteen metropolitan areas, during the period</w:t>
      </w:r>
      <w:r w:rsidR="002B5E2D" w:rsidRPr="00B86ACD">
        <w:t xml:space="preserve"> of 2010 -</w:t>
      </w:r>
      <w:r w:rsidRPr="00B86ACD">
        <w:t xml:space="preserve"> 2012 and the overall averag</w:t>
      </w:r>
      <w:r w:rsidR="00005CA2" w:rsidRPr="00B86ACD">
        <w:t>e values are shown in Table 2.</w:t>
      </w:r>
    </w:p>
    <w:p w:rsidR="009B029E" w:rsidRPr="00B86ACD" w:rsidRDefault="000D2DB7" w:rsidP="000D2DB7">
      <w:pPr>
        <w:pStyle w:val="metin"/>
        <w:ind w:firstLine="0"/>
      </w:pPr>
      <w:r>
        <w:rPr>
          <w:noProof/>
          <w:lang w:val="tr-TR" w:eastAsia="tr-TR"/>
        </w:rPr>
        <w:drawing>
          <wp:inline distT="0" distB="0" distL="0" distR="0" wp14:anchorId="7447B060">
            <wp:extent cx="3240000" cy="24264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26400"/>
                    </a:xfrm>
                    <a:prstGeom prst="rect">
                      <a:avLst/>
                    </a:prstGeom>
                    <a:noFill/>
                  </pic:spPr>
                </pic:pic>
              </a:graphicData>
            </a:graphic>
          </wp:inline>
        </w:drawing>
      </w:r>
    </w:p>
    <w:p w:rsidR="009B029E" w:rsidRPr="00F347FC" w:rsidRDefault="009B029E" w:rsidP="00F347FC">
      <w:pPr>
        <w:pStyle w:val="ResimYazs"/>
        <w:rPr>
          <w:lang w:val="en-GB"/>
        </w:rPr>
      </w:pPr>
      <w:r w:rsidRPr="00F347FC">
        <w:rPr>
          <w:lang w:val="en-GB"/>
        </w:rPr>
        <w:t xml:space="preserve"> 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4</w:t>
      </w:r>
      <w:r w:rsidRPr="00F347FC">
        <w:rPr>
          <w:lang w:val="en-GB"/>
        </w:rPr>
        <w:fldChar w:fldCharType="end"/>
      </w:r>
      <w:r w:rsidRPr="00F347FC">
        <w:rPr>
          <w:lang w:val="en-GB"/>
        </w:rPr>
        <w:t>. Descriptive statistical values (left panel) and frequency histogram of average value of SO2 data (right panel).</w:t>
      </w:r>
    </w:p>
    <w:p w:rsidR="009B029E" w:rsidRPr="00B86ACD" w:rsidRDefault="009B029E" w:rsidP="00C031D8">
      <w:pPr>
        <w:pStyle w:val="metin"/>
      </w:pPr>
      <w:r w:rsidRPr="00B86ACD">
        <w:tab/>
        <w:t>The data of İstanbul, İzmir, Ankara, Adana, Kayseri, Kocaeli, Konya and Samsun are from 10, 8, 8, 4, 3, 3, 2 and 2 stations, respectively and from the other cities only 1 station. The daily maximum SO</w:t>
      </w:r>
      <w:r w:rsidRPr="00B86ACD">
        <w:rPr>
          <w:vertAlign w:val="subscript"/>
        </w:rPr>
        <w:t>2</w:t>
      </w:r>
      <w:r w:rsidRPr="00B86ACD">
        <w:t xml:space="preserve"> value changes from city to city with values between 192 µgm</w:t>
      </w:r>
      <w:r w:rsidRPr="00B86ACD">
        <w:rPr>
          <w:vertAlign w:val="superscript"/>
        </w:rPr>
        <w:t>-3</w:t>
      </w:r>
      <w:r w:rsidRPr="00B86ACD">
        <w:t xml:space="preserve"> in Konya and 27 µgm</w:t>
      </w:r>
      <w:r w:rsidRPr="00B86ACD">
        <w:rPr>
          <w:vertAlign w:val="superscript"/>
        </w:rPr>
        <w:t>-3</w:t>
      </w:r>
      <w:r w:rsidRPr="00B86ACD">
        <w:t xml:space="preserve"> in Eskişehir with the overall average maximum value of 97 µgm</w:t>
      </w:r>
      <w:r w:rsidRPr="00B86ACD">
        <w:rPr>
          <w:vertAlign w:val="superscript"/>
        </w:rPr>
        <w:t>-3</w:t>
      </w:r>
      <w:r w:rsidRPr="00B86ACD">
        <w:t>. The average of 50 stations is 14 µgm</w:t>
      </w:r>
      <w:r w:rsidRPr="00B86ACD">
        <w:rPr>
          <w:vertAlign w:val="superscript"/>
        </w:rPr>
        <w:t>-3</w:t>
      </w:r>
      <w:r w:rsidRPr="00B86ACD">
        <w:t xml:space="preserve"> with a maximum value of 97 µgm</w:t>
      </w:r>
      <w:r w:rsidRPr="00B86ACD">
        <w:rPr>
          <w:vertAlign w:val="superscript"/>
        </w:rPr>
        <w:t>-3</w:t>
      </w:r>
      <w:r w:rsidRPr="00B86ACD">
        <w:t xml:space="preserve"> and minimum value of 1µgm</w:t>
      </w:r>
      <w:r w:rsidRPr="00B86ACD">
        <w:rPr>
          <w:vertAlign w:val="superscript"/>
        </w:rPr>
        <w:t>-3</w:t>
      </w:r>
      <w:r w:rsidRPr="00B86ACD">
        <w:t>. The average SO2 values of 95%, 75%, 25% and 5% percentiles are 35 µgm</w:t>
      </w:r>
      <w:r w:rsidRPr="00B86ACD">
        <w:rPr>
          <w:vertAlign w:val="superscript"/>
        </w:rPr>
        <w:t>-3</w:t>
      </w:r>
      <w:r w:rsidRPr="00B86ACD">
        <w:t>, 15 µgm</w:t>
      </w:r>
      <w:r w:rsidRPr="00B86ACD">
        <w:rPr>
          <w:vertAlign w:val="superscript"/>
        </w:rPr>
        <w:t>-3</w:t>
      </w:r>
      <w:r w:rsidRPr="00B86ACD">
        <w:t>, 4 µgm</w:t>
      </w:r>
      <w:r w:rsidRPr="00B86ACD">
        <w:rPr>
          <w:vertAlign w:val="superscript"/>
        </w:rPr>
        <w:t>-3</w:t>
      </w:r>
      <w:r w:rsidRPr="00B86ACD">
        <w:t xml:space="preserve"> and 2 µgm</w:t>
      </w:r>
      <w:r w:rsidRPr="00B86ACD">
        <w:rPr>
          <w:vertAlign w:val="superscript"/>
        </w:rPr>
        <w:t>-3</w:t>
      </w:r>
      <w:r w:rsidRPr="00B86ACD">
        <w:t>, respectively. On the other hand, 5</w:t>
      </w:r>
      <w:r w:rsidRPr="00B86ACD">
        <w:rPr>
          <w:vertAlign w:val="superscript"/>
        </w:rPr>
        <w:t>th</w:t>
      </w:r>
      <w:r w:rsidRPr="00B86ACD">
        <w:t>-95</w:t>
      </w:r>
      <w:r w:rsidRPr="00B86ACD">
        <w:rPr>
          <w:vertAlign w:val="superscript"/>
        </w:rPr>
        <w:t>th</w:t>
      </w:r>
      <w:r w:rsidRPr="00B86ACD">
        <w:t xml:space="preserve"> and 25</w:t>
      </w:r>
      <w:r w:rsidRPr="00B86ACD">
        <w:rPr>
          <w:vertAlign w:val="superscript"/>
        </w:rPr>
        <w:t>th</w:t>
      </w:r>
      <w:r w:rsidRPr="00B86ACD">
        <w:t>-75</w:t>
      </w:r>
      <w:r w:rsidRPr="00B86ACD">
        <w:rPr>
          <w:vertAlign w:val="superscript"/>
        </w:rPr>
        <w:t>th</w:t>
      </w:r>
      <w:r w:rsidRPr="00B86ACD">
        <w:t xml:space="preserve"> percentiles have mid-values as 33 µgm</w:t>
      </w:r>
      <w:r w:rsidRPr="00B86ACD">
        <w:rPr>
          <w:vertAlign w:val="superscript"/>
        </w:rPr>
        <w:t>-3</w:t>
      </w:r>
      <w:r w:rsidRPr="00B86ACD">
        <w:t>, 11 µgm</w:t>
      </w:r>
      <w:r w:rsidRPr="00B86ACD">
        <w:rPr>
          <w:vertAlign w:val="superscript"/>
        </w:rPr>
        <w:t>-3</w:t>
      </w:r>
      <w:r w:rsidRPr="00B86ACD">
        <w:t>, respectively. The higher SO</w:t>
      </w:r>
      <w:r w:rsidRPr="00B86ACD">
        <w:rPr>
          <w:vertAlign w:val="subscript"/>
        </w:rPr>
        <w:t>2</w:t>
      </w:r>
      <w:r w:rsidRPr="00B86ACD">
        <w:t xml:space="preserve"> values increase sharply. For example, the 75</w:t>
      </w:r>
      <w:r w:rsidRPr="00B86ACD">
        <w:rPr>
          <w:vertAlign w:val="superscript"/>
        </w:rPr>
        <w:t>th</w:t>
      </w:r>
      <w:r w:rsidRPr="00B86ACD">
        <w:t xml:space="preserve"> percentile value is 4 times bigger than 25</w:t>
      </w:r>
      <w:r w:rsidRPr="00B86ACD">
        <w:rPr>
          <w:vertAlign w:val="superscript"/>
        </w:rPr>
        <w:t>th</w:t>
      </w:r>
      <w:r w:rsidRPr="00B86ACD">
        <w:t xml:space="preserve"> percentile (Fig. 4, left panel). The average daily values of all stations change between 7 µgm</w:t>
      </w:r>
      <w:r w:rsidRPr="00B86ACD">
        <w:rPr>
          <w:vertAlign w:val="superscript"/>
        </w:rPr>
        <w:t>-3</w:t>
      </w:r>
      <w:r w:rsidRPr="00B86ACD">
        <w:t xml:space="preserve"> (Mersin) and 19 µgm</w:t>
      </w:r>
      <w:r w:rsidRPr="00B86ACD">
        <w:rPr>
          <w:vertAlign w:val="superscript"/>
        </w:rPr>
        <w:t>-3</w:t>
      </w:r>
      <w:r w:rsidRPr="00B86ACD">
        <w:t xml:space="preserve"> (Konya). According to the Fig. 4 (right panel), the frequency of average value of SO2 data is concentrated in the range of 0-10 µgm</w:t>
      </w:r>
      <w:r w:rsidRPr="00B86ACD">
        <w:rPr>
          <w:vertAlign w:val="superscript"/>
        </w:rPr>
        <w:t>-3</w:t>
      </w:r>
      <w:r w:rsidRPr="00B86ACD">
        <w:t>. Approximately, 61% of SO</w:t>
      </w:r>
      <w:r w:rsidRPr="00B86ACD">
        <w:rPr>
          <w:vertAlign w:val="subscript"/>
        </w:rPr>
        <w:t>2</w:t>
      </w:r>
      <w:r w:rsidRPr="00B86ACD">
        <w:t xml:space="preserve"> concentrations are below 10 µgm</w:t>
      </w:r>
      <w:r w:rsidRPr="00B86ACD">
        <w:rPr>
          <w:vertAlign w:val="superscript"/>
        </w:rPr>
        <w:t>-3</w:t>
      </w:r>
      <w:r w:rsidRPr="00B86ACD">
        <w:t>, but 85% of the data are below 20 µgm</w:t>
      </w:r>
      <w:r w:rsidRPr="00B86ACD">
        <w:rPr>
          <w:vertAlign w:val="superscript"/>
        </w:rPr>
        <w:t>-3</w:t>
      </w:r>
      <w:r w:rsidRPr="00B86ACD">
        <w:t>. As seen from Table 2, both skewness and kurtosis values are positive for all cases, which means that the frequency distribution extends to high SO</w:t>
      </w:r>
      <w:r w:rsidRPr="00B86ACD">
        <w:rPr>
          <w:vertAlign w:val="subscript"/>
        </w:rPr>
        <w:t>2</w:t>
      </w:r>
      <w:r w:rsidRPr="00B86ACD">
        <w:t xml:space="preserve"> values with a sharper peak.</w:t>
      </w:r>
    </w:p>
    <w:p w:rsidR="009B029E" w:rsidRPr="00B86ACD" w:rsidRDefault="009B029E" w:rsidP="009B029E">
      <w:pPr>
        <w:pStyle w:val="metin"/>
      </w:pPr>
    </w:p>
    <w:p w:rsidR="009B029E" w:rsidRDefault="009B029E" w:rsidP="00BE34EF">
      <w:pPr>
        <w:spacing w:after="0" w:line="240" w:lineRule="auto"/>
        <w:jc w:val="both"/>
        <w:rPr>
          <w:rFonts w:ascii="Times New Roman" w:hAnsi="Times New Roman" w:cs="Times New Roman"/>
          <w:sz w:val="20"/>
          <w:szCs w:val="20"/>
          <w:lang w:val="en-US"/>
        </w:rPr>
        <w:sectPr w:rsidR="009B029E" w:rsidSect="00731ACB">
          <w:headerReference w:type="even" r:id="rId18"/>
          <w:type w:val="continuous"/>
          <w:pgSz w:w="11906" w:h="16838" w:code="9"/>
          <w:pgMar w:top="851" w:right="851" w:bottom="851" w:left="851" w:header="454" w:footer="454" w:gutter="0"/>
          <w:cols w:num="2" w:space="340"/>
          <w:docGrid w:linePitch="360" w:charSpace="-2458"/>
        </w:sectPr>
      </w:pPr>
    </w:p>
    <w:p w:rsidR="00431540" w:rsidRPr="00F347FC" w:rsidRDefault="00005CA2" w:rsidP="00005CA2">
      <w:pPr>
        <w:pStyle w:val="ResimYazs"/>
        <w:rPr>
          <w:lang w:val="en-GB"/>
        </w:rPr>
      </w:pPr>
      <w:r w:rsidRPr="00F347FC">
        <w:rPr>
          <w:lang w:val="en-GB"/>
        </w:rPr>
        <w:t xml:space="preserve">Table </w:t>
      </w:r>
      <w:r w:rsidRPr="00F347FC">
        <w:rPr>
          <w:lang w:val="en-GB"/>
        </w:rPr>
        <w:fldChar w:fldCharType="begin"/>
      </w:r>
      <w:r w:rsidRPr="00F347FC">
        <w:rPr>
          <w:lang w:val="en-GB"/>
        </w:rPr>
        <w:instrText xml:space="preserve"> SEQ Table \* ARABIC </w:instrText>
      </w:r>
      <w:r w:rsidRPr="00F347FC">
        <w:rPr>
          <w:lang w:val="en-GB"/>
        </w:rPr>
        <w:fldChar w:fldCharType="separate"/>
      </w:r>
      <w:r w:rsidR="00DC4EA5">
        <w:rPr>
          <w:noProof/>
          <w:lang w:val="en-GB"/>
        </w:rPr>
        <w:t>2</w:t>
      </w:r>
      <w:r w:rsidRPr="00F347FC">
        <w:rPr>
          <w:lang w:val="en-GB"/>
        </w:rPr>
        <w:fldChar w:fldCharType="end"/>
      </w:r>
      <w:r w:rsidRPr="00F347FC">
        <w:rPr>
          <w:lang w:val="en-GB"/>
        </w:rPr>
        <w:t>. Descriptive statistical values and frequency histogram for SO</w:t>
      </w:r>
      <w:r w:rsidRPr="00F347FC">
        <w:rPr>
          <w:vertAlign w:val="subscript"/>
          <w:lang w:val="en-GB"/>
        </w:rPr>
        <w:t>2</w:t>
      </w:r>
      <w:r w:rsidRPr="00F347FC">
        <w:rPr>
          <w:lang w:val="en-GB"/>
        </w:rPr>
        <w:t xml:space="preserve"> during 2010-2012.</w:t>
      </w:r>
    </w:p>
    <w:tbl>
      <w:tblPr>
        <w:tblW w:w="9342" w:type="dxa"/>
        <w:tblInd w:w="70" w:type="dxa"/>
        <w:tblCellMar>
          <w:left w:w="70" w:type="dxa"/>
          <w:right w:w="70" w:type="dxa"/>
        </w:tblCellMar>
        <w:tblLook w:val="04A0" w:firstRow="1" w:lastRow="0" w:firstColumn="1" w:lastColumn="0" w:noHBand="0" w:noVBand="1"/>
      </w:tblPr>
      <w:tblGrid>
        <w:gridCol w:w="1007"/>
        <w:gridCol w:w="376"/>
        <w:gridCol w:w="576"/>
        <w:gridCol w:w="440"/>
        <w:gridCol w:w="376"/>
        <w:gridCol w:w="376"/>
        <w:gridCol w:w="376"/>
        <w:gridCol w:w="376"/>
        <w:gridCol w:w="376"/>
        <w:gridCol w:w="376"/>
        <w:gridCol w:w="376"/>
        <w:gridCol w:w="376"/>
        <w:gridCol w:w="376"/>
        <w:gridCol w:w="216"/>
        <w:gridCol w:w="440"/>
        <w:gridCol w:w="440"/>
        <w:gridCol w:w="440"/>
        <w:gridCol w:w="440"/>
        <w:gridCol w:w="376"/>
        <w:gridCol w:w="376"/>
        <w:gridCol w:w="376"/>
        <w:gridCol w:w="376"/>
        <w:gridCol w:w="376"/>
        <w:gridCol w:w="376"/>
      </w:tblGrid>
      <w:tr w:rsidR="007D3C91" w:rsidRPr="007D3C91" w:rsidTr="007D3C91">
        <w:trPr>
          <w:trHeight w:val="300"/>
        </w:trPr>
        <w:tc>
          <w:tcPr>
            <w:tcW w:w="956" w:type="dxa"/>
            <w:tcBorders>
              <w:top w:val="single" w:sz="4" w:space="0" w:color="auto"/>
              <w:left w:val="nil"/>
              <w:bottom w:val="nil"/>
              <w:right w:val="nil"/>
            </w:tcBorders>
            <w:shd w:val="clear" w:color="000000" w:fill="FFFFFF"/>
            <w:noWrap/>
            <w:vAlign w:val="bottom"/>
            <w:hideMark/>
          </w:tcPr>
          <w:p w:rsidR="007D3C91" w:rsidRPr="007D3C91" w:rsidRDefault="007D3C91" w:rsidP="000D2DB7">
            <w:pPr>
              <w:pStyle w:val="Tablo"/>
              <w:jc w:val="center"/>
              <w:rPr>
                <w:b/>
              </w:rPr>
            </w:pPr>
            <w:r w:rsidRPr="007D3C91">
              <w:rPr>
                <w:b/>
              </w:rPr>
              <w:t>SO</w:t>
            </w:r>
            <w:r w:rsidRPr="007D3C91">
              <w:rPr>
                <w:b/>
                <w:vertAlign w:val="subscript"/>
              </w:rPr>
              <w:t>2</w:t>
            </w:r>
          </w:p>
        </w:tc>
        <w:tc>
          <w:tcPr>
            <w:tcW w:w="356" w:type="dxa"/>
            <w:tcBorders>
              <w:top w:val="single" w:sz="4" w:space="0" w:color="auto"/>
              <w:left w:val="nil"/>
              <w:bottom w:val="nil"/>
              <w:right w:val="nil"/>
            </w:tcBorders>
            <w:shd w:val="clear" w:color="000000" w:fill="FFFFFF"/>
            <w:noWrap/>
            <w:vAlign w:val="bottom"/>
            <w:hideMark/>
          </w:tcPr>
          <w:p w:rsidR="007D3C91" w:rsidRPr="007D3C91" w:rsidRDefault="007D3C91" w:rsidP="000D2DB7">
            <w:pPr>
              <w:pStyle w:val="Tablo"/>
              <w:jc w:val="center"/>
              <w:rPr>
                <w:b/>
              </w:rPr>
            </w:pPr>
          </w:p>
        </w:tc>
        <w:tc>
          <w:tcPr>
            <w:tcW w:w="4158" w:type="dxa"/>
            <w:gridSpan w:val="11"/>
            <w:tcBorders>
              <w:top w:val="single" w:sz="4" w:space="0" w:color="auto"/>
              <w:left w:val="nil"/>
              <w:bottom w:val="single" w:sz="4" w:space="0" w:color="auto"/>
              <w:right w:val="nil"/>
            </w:tcBorders>
            <w:shd w:val="clear" w:color="000000" w:fill="FFFFFF"/>
            <w:noWrap/>
            <w:vAlign w:val="bottom"/>
            <w:hideMark/>
          </w:tcPr>
          <w:p w:rsidR="007D3C91" w:rsidRPr="007D3C91" w:rsidRDefault="007D3C91" w:rsidP="000D2DB7">
            <w:pPr>
              <w:pStyle w:val="Tablo"/>
              <w:jc w:val="center"/>
              <w:rPr>
                <w:b/>
              </w:rPr>
            </w:pPr>
            <w:r w:rsidRPr="007D3C91">
              <w:rPr>
                <w:b/>
              </w:rPr>
              <w:t>Descriptive statistics</w:t>
            </w:r>
          </w:p>
        </w:tc>
        <w:tc>
          <w:tcPr>
            <w:tcW w:w="216" w:type="dxa"/>
            <w:vMerge w:val="restart"/>
            <w:tcBorders>
              <w:top w:val="single" w:sz="4" w:space="0" w:color="auto"/>
              <w:left w:val="nil"/>
              <w:bottom w:val="single" w:sz="4" w:space="0" w:color="000000"/>
              <w:right w:val="nil"/>
            </w:tcBorders>
            <w:shd w:val="clear" w:color="000000" w:fill="DDD9C4"/>
            <w:noWrap/>
            <w:vAlign w:val="bottom"/>
            <w:hideMark/>
          </w:tcPr>
          <w:p w:rsidR="007D3C91" w:rsidRPr="007D3C91" w:rsidRDefault="007D3C91" w:rsidP="000D2DB7">
            <w:pPr>
              <w:pStyle w:val="Tablo"/>
              <w:jc w:val="center"/>
              <w:rPr>
                <w:b/>
              </w:rPr>
            </w:pPr>
          </w:p>
        </w:tc>
        <w:tc>
          <w:tcPr>
            <w:tcW w:w="3656" w:type="dxa"/>
            <w:gridSpan w:val="10"/>
            <w:tcBorders>
              <w:top w:val="single" w:sz="4" w:space="0" w:color="auto"/>
              <w:left w:val="nil"/>
              <w:bottom w:val="single" w:sz="4" w:space="0" w:color="auto"/>
              <w:right w:val="nil"/>
            </w:tcBorders>
            <w:shd w:val="clear" w:color="000000" w:fill="FFFFFF"/>
            <w:noWrap/>
            <w:vAlign w:val="bottom"/>
            <w:hideMark/>
          </w:tcPr>
          <w:p w:rsidR="007D3C91" w:rsidRPr="007D3C91" w:rsidRDefault="007D3C91" w:rsidP="000D2DB7">
            <w:pPr>
              <w:pStyle w:val="Tablo"/>
              <w:jc w:val="center"/>
              <w:rPr>
                <w:b/>
              </w:rPr>
            </w:pPr>
            <w:r w:rsidRPr="007D3C91">
              <w:rPr>
                <w:b/>
              </w:rPr>
              <w:t>Frequency histograms</w:t>
            </w:r>
          </w:p>
        </w:tc>
      </w:tr>
      <w:tr w:rsidR="00731ACB" w:rsidRPr="007D3C91" w:rsidTr="007D3C91">
        <w:trPr>
          <w:trHeight w:val="840"/>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rPr>
                <w:b/>
              </w:rPr>
            </w:pPr>
            <w:r w:rsidRPr="007D3C91">
              <w:rPr>
                <w:b/>
              </w:rPr>
              <w:t>City</w:t>
            </w:r>
          </w:p>
        </w:tc>
        <w:tc>
          <w:tcPr>
            <w:tcW w:w="356"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NS</w:t>
            </w:r>
          </w:p>
        </w:tc>
        <w:tc>
          <w:tcPr>
            <w:tcW w:w="576"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DAD</w:t>
            </w:r>
          </w:p>
        </w:tc>
        <w:tc>
          <w:tcPr>
            <w:tcW w:w="432"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Max</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95%</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75%</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Average</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25%</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5%</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Min</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Std</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Skw</w:t>
            </w:r>
          </w:p>
        </w:tc>
        <w:tc>
          <w:tcPr>
            <w:tcW w:w="350"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Kur</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rPr>
                <w:b/>
              </w:rPr>
            </w:pPr>
          </w:p>
        </w:tc>
        <w:tc>
          <w:tcPr>
            <w:tcW w:w="413"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0-10</w:t>
            </w:r>
          </w:p>
        </w:tc>
        <w:tc>
          <w:tcPr>
            <w:tcW w:w="413"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10-20</w:t>
            </w:r>
          </w:p>
        </w:tc>
        <w:tc>
          <w:tcPr>
            <w:tcW w:w="413"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20-30</w:t>
            </w:r>
          </w:p>
        </w:tc>
        <w:tc>
          <w:tcPr>
            <w:tcW w:w="413"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30-40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40-50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50-60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60-70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70-80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80-90</w:t>
            </w:r>
          </w:p>
        </w:tc>
        <w:tc>
          <w:tcPr>
            <w:tcW w:w="334" w:type="dxa"/>
            <w:tcBorders>
              <w:top w:val="nil"/>
              <w:left w:val="nil"/>
              <w:bottom w:val="nil"/>
              <w:right w:val="nil"/>
            </w:tcBorders>
            <w:shd w:val="clear" w:color="000000" w:fill="FFFFFF"/>
            <w:noWrap/>
            <w:textDirection w:val="btLr"/>
            <w:vAlign w:val="bottom"/>
            <w:hideMark/>
          </w:tcPr>
          <w:p w:rsidR="007D3C91" w:rsidRPr="007D3C91" w:rsidRDefault="007D3C91" w:rsidP="007D3C91">
            <w:pPr>
              <w:pStyle w:val="Tablo"/>
              <w:rPr>
                <w:b/>
              </w:rPr>
            </w:pPr>
            <w:r w:rsidRPr="007D3C91">
              <w:rPr>
                <w:b/>
              </w:rPr>
              <w:t>90-100</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Adana</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1081</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9</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914</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117</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44</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Ankara</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8</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1084</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422</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402</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167</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25</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Antalya</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852</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178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20</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31</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583</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192</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33</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9</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Bursa</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746</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88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452</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121</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72</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28</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Diyarbakır</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935</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37</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419</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293</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39</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161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Erzurum</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1032</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16</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622</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227</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75</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28</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Eskişehir</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685</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27</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596</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63</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26</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Gaziantep</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1058</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665</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147</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69</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44</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46</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37</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Mersin</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743</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675</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30</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37</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İstanbul</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1084</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827</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233</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23</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İzmir</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1084</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24</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597</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391</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72</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22</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Kayseri</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1028</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431</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343</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146</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Kocaeli</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1037</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140</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18</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16</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23</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509</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320</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116</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47</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18</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8</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Konya</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1063</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192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20</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22</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503</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306</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128</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51</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29</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9</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4</w:t>
            </w:r>
          </w:p>
        </w:tc>
      </w:tr>
      <w:tr w:rsidR="00731ACB" w:rsidRPr="007D3C91" w:rsidTr="007D3C91">
        <w:trPr>
          <w:trHeight w:val="282"/>
        </w:trPr>
        <w:tc>
          <w:tcPr>
            <w:tcW w:w="9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Sakarya</w:t>
            </w:r>
          </w:p>
        </w:tc>
        <w:tc>
          <w:tcPr>
            <w:tcW w:w="35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576"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934</w:t>
            </w:r>
          </w:p>
        </w:tc>
        <w:tc>
          <w:tcPr>
            <w:tcW w:w="432"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64</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30</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10</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4</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649</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182</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61</w:t>
            </w:r>
          </w:p>
        </w:tc>
        <w:tc>
          <w:tcPr>
            <w:tcW w:w="413"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26</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13</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2</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1</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EEECE1"/>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Samsun</w:t>
            </w:r>
          </w:p>
        </w:tc>
        <w:tc>
          <w:tcPr>
            <w:tcW w:w="35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576"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1044</w:t>
            </w:r>
          </w:p>
        </w:tc>
        <w:tc>
          <w:tcPr>
            <w:tcW w:w="432"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103</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39</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18</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w:t>
            </w:r>
          </w:p>
        </w:tc>
        <w:tc>
          <w:tcPr>
            <w:tcW w:w="350"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6</w:t>
            </w:r>
          </w:p>
        </w:tc>
        <w:tc>
          <w:tcPr>
            <w:tcW w:w="216" w:type="dxa"/>
            <w:vMerge/>
            <w:tcBorders>
              <w:top w:val="single" w:sz="4" w:space="0" w:color="auto"/>
              <w:left w:val="nil"/>
              <w:bottom w:val="single" w:sz="4" w:space="0" w:color="000000"/>
              <w:right w:val="nil"/>
            </w:tcBorders>
            <w:vAlign w:val="center"/>
            <w:hideMark/>
          </w:tcPr>
          <w:p w:rsidR="007D3C91" w:rsidRPr="007D3C91" w:rsidRDefault="007D3C91" w:rsidP="007D3C91">
            <w:pPr>
              <w:pStyle w:val="Tablo"/>
            </w:pP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551</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285</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109</w:t>
            </w:r>
          </w:p>
        </w:tc>
        <w:tc>
          <w:tcPr>
            <w:tcW w:w="413"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55</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20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16</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7</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c>
          <w:tcPr>
            <w:tcW w:w="334" w:type="dxa"/>
            <w:tcBorders>
              <w:top w:val="nil"/>
              <w:left w:val="nil"/>
              <w:bottom w:val="nil"/>
              <w:right w:val="nil"/>
            </w:tcBorders>
            <w:shd w:val="clear" w:color="000000" w:fill="FFFFFF"/>
            <w:noWrap/>
            <w:vAlign w:val="bottom"/>
            <w:hideMark/>
          </w:tcPr>
          <w:p w:rsidR="007D3C91" w:rsidRPr="007D3C91" w:rsidRDefault="007D3C91" w:rsidP="007D3C91">
            <w:pPr>
              <w:pStyle w:val="Tablo"/>
            </w:pPr>
            <w:r w:rsidRPr="007D3C91">
              <w:t>0</w:t>
            </w:r>
          </w:p>
        </w:tc>
      </w:tr>
      <w:tr w:rsidR="00731ACB" w:rsidRPr="007D3C91" w:rsidTr="007D3C91">
        <w:trPr>
          <w:trHeight w:val="282"/>
        </w:trPr>
        <w:tc>
          <w:tcPr>
            <w:tcW w:w="956"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Average</w:t>
            </w:r>
          </w:p>
        </w:tc>
        <w:tc>
          <w:tcPr>
            <w:tcW w:w="356"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 </w:t>
            </w:r>
          </w:p>
        </w:tc>
        <w:tc>
          <w:tcPr>
            <w:tcW w:w="576"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968</w:t>
            </w:r>
          </w:p>
        </w:tc>
        <w:tc>
          <w:tcPr>
            <w:tcW w:w="432"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97</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35</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15</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14</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4</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2</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12</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3</w:t>
            </w:r>
          </w:p>
        </w:tc>
        <w:tc>
          <w:tcPr>
            <w:tcW w:w="350"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10</w:t>
            </w:r>
          </w:p>
        </w:tc>
        <w:tc>
          <w:tcPr>
            <w:tcW w:w="216" w:type="dxa"/>
            <w:vMerge/>
            <w:tcBorders>
              <w:top w:val="single" w:sz="4" w:space="0" w:color="auto"/>
              <w:left w:val="nil"/>
              <w:bottom w:val="single" w:sz="4" w:space="0" w:color="000000"/>
              <w:right w:val="nil"/>
            </w:tcBorders>
            <w:vAlign w:val="center"/>
            <w:hideMark/>
          </w:tcPr>
          <w:p w:rsidR="007D3C91" w:rsidRPr="000D2DB7" w:rsidRDefault="007D3C91" w:rsidP="007D3C91">
            <w:pPr>
              <w:pStyle w:val="Tablo"/>
              <w:rPr>
                <w:b/>
              </w:rPr>
            </w:pPr>
          </w:p>
        </w:tc>
        <w:tc>
          <w:tcPr>
            <w:tcW w:w="413"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588</w:t>
            </w:r>
          </w:p>
        </w:tc>
        <w:tc>
          <w:tcPr>
            <w:tcW w:w="413"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228</w:t>
            </w:r>
          </w:p>
        </w:tc>
        <w:tc>
          <w:tcPr>
            <w:tcW w:w="413"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76</w:t>
            </w:r>
          </w:p>
        </w:tc>
        <w:tc>
          <w:tcPr>
            <w:tcW w:w="413"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37</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16</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10</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4</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2</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w:t>
            </w:r>
          </w:p>
        </w:tc>
        <w:tc>
          <w:tcPr>
            <w:tcW w:w="334" w:type="dxa"/>
            <w:tcBorders>
              <w:top w:val="nil"/>
              <w:left w:val="nil"/>
              <w:bottom w:val="single" w:sz="4" w:space="0" w:color="auto"/>
              <w:right w:val="nil"/>
            </w:tcBorders>
            <w:shd w:val="clear" w:color="000000" w:fill="EEECE1"/>
            <w:noWrap/>
            <w:vAlign w:val="bottom"/>
            <w:hideMark/>
          </w:tcPr>
          <w:p w:rsidR="007D3C91" w:rsidRPr="000D2DB7" w:rsidRDefault="007D3C91" w:rsidP="007D3C91">
            <w:pPr>
              <w:pStyle w:val="Tablo"/>
              <w:rPr>
                <w:b/>
              </w:rPr>
            </w:pPr>
            <w:r w:rsidRPr="000D2DB7">
              <w:rPr>
                <w:b/>
              </w:rPr>
              <w:t>1</w:t>
            </w:r>
          </w:p>
        </w:tc>
      </w:tr>
    </w:tbl>
    <w:p w:rsidR="00005CA2" w:rsidRPr="00B86ACD" w:rsidRDefault="00005CA2" w:rsidP="00BE34EF">
      <w:pPr>
        <w:spacing w:after="0" w:line="240" w:lineRule="auto"/>
        <w:jc w:val="both"/>
        <w:rPr>
          <w:rFonts w:ascii="Times New Roman" w:hAnsi="Times New Roman" w:cs="Times New Roman"/>
          <w:sz w:val="20"/>
          <w:szCs w:val="20"/>
          <w:lang w:val="en-US"/>
        </w:rPr>
      </w:pPr>
    </w:p>
    <w:p w:rsidR="009B029E" w:rsidRDefault="009B029E" w:rsidP="00BE34EF">
      <w:pPr>
        <w:pStyle w:val="Basliklar2"/>
        <w:sectPr w:rsidR="009B029E" w:rsidSect="00130A0E">
          <w:type w:val="continuous"/>
          <w:pgSz w:w="11906" w:h="16838" w:code="9"/>
          <w:pgMar w:top="851" w:right="851" w:bottom="851" w:left="851" w:header="454" w:footer="454" w:gutter="0"/>
          <w:cols w:space="340"/>
          <w:docGrid w:linePitch="360" w:charSpace="-2458"/>
        </w:sectPr>
      </w:pPr>
    </w:p>
    <w:p w:rsidR="00E755B2" w:rsidRPr="00B86ACD" w:rsidRDefault="00E755B2" w:rsidP="00BE34EF">
      <w:pPr>
        <w:pStyle w:val="Basliklar2"/>
      </w:pPr>
      <w:r w:rsidRPr="00B86ACD">
        <w:t>3.3 The statistical characteristics of NO</w:t>
      </w:r>
      <w:r w:rsidRPr="00B86ACD">
        <w:rPr>
          <w:vertAlign w:val="subscript"/>
        </w:rPr>
        <w:t>2</w:t>
      </w:r>
      <w:r w:rsidRPr="00B86ACD">
        <w:t xml:space="preserve"> concentration</w:t>
      </w:r>
    </w:p>
    <w:p w:rsidR="00E755B2" w:rsidRPr="00B86ACD" w:rsidRDefault="00E755B2" w:rsidP="00C031D8">
      <w:pPr>
        <w:pStyle w:val="metin"/>
      </w:pPr>
      <w:r w:rsidRPr="00B86ACD">
        <w:t>Nitrogen dioxide (NO</w:t>
      </w:r>
      <w:r w:rsidRPr="00B86ACD">
        <w:rPr>
          <w:vertAlign w:val="subscript"/>
        </w:rPr>
        <w:t>2</w:t>
      </w:r>
      <w:r w:rsidRPr="00B86ACD">
        <w:t xml:space="preserve">) is an important air pollutant </w:t>
      </w:r>
      <w:r w:rsidR="00FC0AB3" w:rsidRPr="00B86ACD">
        <w:t>due to</w:t>
      </w:r>
      <w:r w:rsidRPr="00B86ACD">
        <w:t xml:space="preserve"> it</w:t>
      </w:r>
      <w:r w:rsidR="00FC0AB3" w:rsidRPr="00B86ACD">
        <w:t>s</w:t>
      </w:r>
      <w:r w:rsidRPr="00B86ACD">
        <w:t xml:space="preserve"> harmful effects on human health. The main sources of NO</w:t>
      </w:r>
      <w:r w:rsidRPr="00B86ACD">
        <w:rPr>
          <w:vertAlign w:val="subscript"/>
        </w:rPr>
        <w:t>2</w:t>
      </w:r>
      <w:r w:rsidRPr="00B86ACD">
        <w:t xml:space="preserve"> are</w:t>
      </w:r>
      <w:r w:rsidR="00FC0AB3" w:rsidRPr="00B86ACD">
        <w:t xml:space="preserve"> automobiles,</w:t>
      </w:r>
      <w:r w:rsidRPr="00B86ACD">
        <w:t xml:space="preserve"> industrial processes</w:t>
      </w:r>
      <w:r w:rsidR="00FC0AB3" w:rsidRPr="00B86ACD">
        <w:t xml:space="preserve"> and fuel combustion in power plants</w:t>
      </w:r>
      <w:r w:rsidRPr="00B86ACD">
        <w:t>. The statistical characters of NO</w:t>
      </w:r>
      <w:r w:rsidRPr="00B86ACD">
        <w:rPr>
          <w:vertAlign w:val="subscript"/>
        </w:rPr>
        <w:t>2</w:t>
      </w:r>
      <w:r w:rsidRPr="00B86ACD">
        <w:t xml:space="preserve"> concentration were given in Table 3. </w:t>
      </w:r>
    </w:p>
    <w:p w:rsidR="009B029E" w:rsidRDefault="009B029E" w:rsidP="00C6195D">
      <w:pPr>
        <w:pStyle w:val="ResimYazs"/>
        <w:sectPr w:rsidR="009B029E" w:rsidSect="00731ACB">
          <w:type w:val="continuous"/>
          <w:pgSz w:w="11906" w:h="16838" w:code="9"/>
          <w:pgMar w:top="851" w:right="851" w:bottom="851" w:left="851" w:header="454" w:footer="454" w:gutter="0"/>
          <w:cols w:num="2" w:space="340"/>
          <w:docGrid w:linePitch="360" w:charSpace="-2458"/>
        </w:sectPr>
      </w:pPr>
    </w:p>
    <w:p w:rsidR="00C6195D" w:rsidRPr="00F347FC" w:rsidRDefault="00C6195D" w:rsidP="00C6195D">
      <w:pPr>
        <w:pStyle w:val="ResimYazs"/>
        <w:rPr>
          <w:rFonts w:cs="Times New Roman"/>
          <w:szCs w:val="20"/>
          <w:lang w:val="en-GB"/>
        </w:rPr>
      </w:pPr>
      <w:r w:rsidRPr="00F347FC">
        <w:rPr>
          <w:lang w:val="en-GB"/>
        </w:rPr>
        <w:t xml:space="preserve">Table </w:t>
      </w:r>
      <w:r w:rsidRPr="00F347FC">
        <w:rPr>
          <w:lang w:val="en-GB"/>
        </w:rPr>
        <w:fldChar w:fldCharType="begin"/>
      </w:r>
      <w:r w:rsidRPr="00F347FC">
        <w:rPr>
          <w:lang w:val="en-GB"/>
        </w:rPr>
        <w:instrText xml:space="preserve"> SEQ Table \* ARABIC </w:instrText>
      </w:r>
      <w:r w:rsidRPr="00F347FC">
        <w:rPr>
          <w:lang w:val="en-GB"/>
        </w:rPr>
        <w:fldChar w:fldCharType="separate"/>
      </w:r>
      <w:r w:rsidR="00DC4EA5">
        <w:rPr>
          <w:noProof/>
          <w:lang w:val="en-GB"/>
        </w:rPr>
        <w:t>3</w:t>
      </w:r>
      <w:r w:rsidRPr="00F347FC">
        <w:rPr>
          <w:lang w:val="en-GB"/>
        </w:rPr>
        <w:fldChar w:fldCharType="end"/>
      </w:r>
      <w:r w:rsidRPr="00F347FC">
        <w:rPr>
          <w:lang w:val="en-GB"/>
        </w:rPr>
        <w:t>. Descriptive statistical values and frequency histogram for NO</w:t>
      </w:r>
      <w:r w:rsidRPr="00F347FC">
        <w:rPr>
          <w:vertAlign w:val="subscript"/>
          <w:lang w:val="en-GB"/>
        </w:rPr>
        <w:t>2</w:t>
      </w:r>
      <w:r w:rsidRPr="00F347FC">
        <w:rPr>
          <w:lang w:val="en-GB"/>
        </w:rPr>
        <w:t xml:space="preserve"> during 2010-2012.</w:t>
      </w:r>
    </w:p>
    <w:tbl>
      <w:tblPr>
        <w:tblW w:w="10574" w:type="dxa"/>
        <w:tblInd w:w="70" w:type="dxa"/>
        <w:tblCellMar>
          <w:left w:w="70" w:type="dxa"/>
          <w:right w:w="70" w:type="dxa"/>
        </w:tblCellMar>
        <w:tblLook w:val="04A0" w:firstRow="1" w:lastRow="0" w:firstColumn="1" w:lastColumn="0" w:noHBand="0" w:noVBand="1"/>
      </w:tblPr>
      <w:tblGrid>
        <w:gridCol w:w="836"/>
        <w:gridCol w:w="383"/>
        <w:gridCol w:w="549"/>
        <w:gridCol w:w="440"/>
        <w:gridCol w:w="440"/>
        <w:gridCol w:w="440"/>
        <w:gridCol w:w="383"/>
        <w:gridCol w:w="383"/>
        <w:gridCol w:w="383"/>
        <w:gridCol w:w="383"/>
        <w:gridCol w:w="383"/>
        <w:gridCol w:w="557"/>
        <w:gridCol w:w="383"/>
        <w:gridCol w:w="190"/>
        <w:gridCol w:w="383"/>
        <w:gridCol w:w="440"/>
        <w:gridCol w:w="440"/>
        <w:gridCol w:w="440"/>
        <w:gridCol w:w="440"/>
        <w:gridCol w:w="383"/>
        <w:gridCol w:w="383"/>
        <w:gridCol w:w="383"/>
        <w:gridCol w:w="383"/>
        <w:gridCol w:w="383"/>
        <w:gridCol w:w="383"/>
      </w:tblGrid>
      <w:tr w:rsidR="000D2DB7" w:rsidRPr="00F347FC" w:rsidTr="00A86EAF">
        <w:trPr>
          <w:trHeight w:val="300"/>
        </w:trPr>
        <w:tc>
          <w:tcPr>
            <w:tcW w:w="836" w:type="dxa"/>
            <w:tcBorders>
              <w:top w:val="single" w:sz="4" w:space="0" w:color="auto"/>
              <w:left w:val="nil"/>
              <w:bottom w:val="nil"/>
              <w:right w:val="nil"/>
            </w:tcBorders>
            <w:shd w:val="clear" w:color="000000" w:fill="FFFFFF"/>
            <w:noWrap/>
            <w:vAlign w:val="bottom"/>
            <w:hideMark/>
          </w:tcPr>
          <w:p w:rsidR="000D2DB7" w:rsidRPr="00F347FC" w:rsidRDefault="000D2DB7" w:rsidP="000D2DB7">
            <w:pPr>
              <w:pStyle w:val="Tablo"/>
              <w:jc w:val="center"/>
              <w:rPr>
                <w:b/>
                <w:lang w:val="en-GB"/>
              </w:rPr>
            </w:pPr>
            <w:r w:rsidRPr="00F347FC">
              <w:rPr>
                <w:b/>
                <w:lang w:val="en-GB"/>
              </w:rPr>
              <w:t>NO</w:t>
            </w:r>
            <w:r w:rsidRPr="00F347FC">
              <w:rPr>
                <w:b/>
                <w:vertAlign w:val="subscript"/>
                <w:lang w:val="en-GB"/>
              </w:rPr>
              <w:t>2</w:t>
            </w:r>
          </w:p>
        </w:tc>
        <w:tc>
          <w:tcPr>
            <w:tcW w:w="383" w:type="dxa"/>
            <w:tcBorders>
              <w:top w:val="single" w:sz="4" w:space="0" w:color="auto"/>
              <w:left w:val="nil"/>
              <w:bottom w:val="nil"/>
              <w:right w:val="nil"/>
            </w:tcBorders>
            <w:shd w:val="clear" w:color="000000" w:fill="FFFFFF"/>
            <w:noWrap/>
            <w:vAlign w:val="bottom"/>
            <w:hideMark/>
          </w:tcPr>
          <w:p w:rsidR="000D2DB7" w:rsidRPr="00F347FC" w:rsidRDefault="000D2DB7" w:rsidP="000D2DB7">
            <w:pPr>
              <w:pStyle w:val="Tablo"/>
              <w:jc w:val="center"/>
              <w:rPr>
                <w:b/>
                <w:lang w:val="en-GB"/>
              </w:rPr>
            </w:pPr>
          </w:p>
        </w:tc>
        <w:tc>
          <w:tcPr>
            <w:tcW w:w="4724" w:type="dxa"/>
            <w:gridSpan w:val="11"/>
            <w:tcBorders>
              <w:top w:val="single" w:sz="4" w:space="0" w:color="auto"/>
              <w:left w:val="nil"/>
              <w:bottom w:val="single" w:sz="4" w:space="0" w:color="auto"/>
              <w:right w:val="nil"/>
            </w:tcBorders>
            <w:shd w:val="clear" w:color="000000" w:fill="FFFFFF"/>
            <w:noWrap/>
            <w:vAlign w:val="bottom"/>
            <w:hideMark/>
          </w:tcPr>
          <w:p w:rsidR="000D2DB7" w:rsidRPr="00F347FC" w:rsidRDefault="000D2DB7" w:rsidP="000D2DB7">
            <w:pPr>
              <w:pStyle w:val="Tablo"/>
              <w:jc w:val="center"/>
              <w:rPr>
                <w:b/>
                <w:lang w:val="en-GB"/>
              </w:rPr>
            </w:pPr>
            <w:r w:rsidRPr="00F347FC">
              <w:rPr>
                <w:b/>
                <w:lang w:val="en-GB"/>
              </w:rPr>
              <w:t>Descriptive statistics</w:t>
            </w:r>
          </w:p>
        </w:tc>
        <w:tc>
          <w:tcPr>
            <w:tcW w:w="190" w:type="dxa"/>
            <w:vMerge w:val="restart"/>
            <w:tcBorders>
              <w:top w:val="single" w:sz="4" w:space="0" w:color="auto"/>
              <w:left w:val="nil"/>
              <w:bottom w:val="single" w:sz="4" w:space="0" w:color="000000"/>
              <w:right w:val="nil"/>
            </w:tcBorders>
            <w:shd w:val="clear" w:color="000000" w:fill="DDD9C4"/>
            <w:noWrap/>
            <w:vAlign w:val="bottom"/>
            <w:hideMark/>
          </w:tcPr>
          <w:p w:rsidR="000D2DB7" w:rsidRPr="00F347FC" w:rsidRDefault="000D2DB7" w:rsidP="000D2DB7">
            <w:pPr>
              <w:pStyle w:val="Tablo"/>
              <w:jc w:val="center"/>
              <w:rPr>
                <w:b/>
                <w:lang w:val="en-GB"/>
              </w:rPr>
            </w:pPr>
          </w:p>
        </w:tc>
        <w:tc>
          <w:tcPr>
            <w:tcW w:w="4441" w:type="dxa"/>
            <w:gridSpan w:val="11"/>
            <w:tcBorders>
              <w:top w:val="single" w:sz="4" w:space="0" w:color="auto"/>
              <w:left w:val="nil"/>
              <w:bottom w:val="single" w:sz="4" w:space="0" w:color="auto"/>
              <w:right w:val="nil"/>
            </w:tcBorders>
            <w:shd w:val="clear" w:color="000000" w:fill="FFFFFF"/>
            <w:noWrap/>
            <w:vAlign w:val="bottom"/>
            <w:hideMark/>
          </w:tcPr>
          <w:p w:rsidR="000D2DB7" w:rsidRPr="00F347FC" w:rsidRDefault="000D2DB7" w:rsidP="000D2DB7">
            <w:pPr>
              <w:pStyle w:val="Tablo"/>
              <w:jc w:val="center"/>
              <w:rPr>
                <w:b/>
                <w:lang w:val="en-GB"/>
              </w:rPr>
            </w:pPr>
            <w:r w:rsidRPr="00F347FC">
              <w:rPr>
                <w:b/>
                <w:lang w:val="en-GB"/>
              </w:rPr>
              <w:t>Frequency histograms</w:t>
            </w:r>
          </w:p>
        </w:tc>
      </w:tr>
      <w:tr w:rsidR="000D2DB7" w:rsidRPr="00F347FC" w:rsidTr="000D2DB7">
        <w:trPr>
          <w:trHeight w:val="840"/>
        </w:trPr>
        <w:tc>
          <w:tcPr>
            <w:tcW w:w="836" w:type="dxa"/>
            <w:tcBorders>
              <w:top w:val="nil"/>
              <w:left w:val="nil"/>
              <w:bottom w:val="nil"/>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City</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NS</w:t>
            </w:r>
          </w:p>
        </w:tc>
        <w:tc>
          <w:tcPr>
            <w:tcW w:w="549"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DAD</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Max</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95%</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75%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Averagre</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25%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Min</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Std</w:t>
            </w:r>
          </w:p>
        </w:tc>
        <w:tc>
          <w:tcPr>
            <w:tcW w:w="557"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Skw</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Kur</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b/>
                <w:lang w:val="en-GB"/>
              </w:rPr>
            </w:pP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0-15</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15-30</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30-45</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45-60</w:t>
            </w:r>
          </w:p>
        </w:tc>
        <w:tc>
          <w:tcPr>
            <w:tcW w:w="440"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60-75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75-90</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90-105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105-120</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120-135</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135-150</w:t>
            </w:r>
          </w:p>
        </w:tc>
        <w:tc>
          <w:tcPr>
            <w:tcW w:w="383" w:type="dxa"/>
            <w:tcBorders>
              <w:top w:val="nil"/>
              <w:left w:val="nil"/>
              <w:bottom w:val="nil"/>
              <w:right w:val="nil"/>
            </w:tcBorders>
            <w:shd w:val="clear" w:color="000000" w:fill="FFFFFF"/>
            <w:noWrap/>
            <w:textDirection w:val="btLr"/>
            <w:vAlign w:val="bottom"/>
            <w:hideMark/>
          </w:tcPr>
          <w:p w:rsidR="000D2DB7" w:rsidRPr="00F347FC" w:rsidRDefault="000D2DB7" w:rsidP="000D2DB7">
            <w:pPr>
              <w:pStyle w:val="Tablo"/>
              <w:rPr>
                <w:b/>
                <w:lang w:val="en-GB"/>
              </w:rPr>
            </w:pPr>
            <w:r w:rsidRPr="00F347FC">
              <w:rPr>
                <w:b/>
                <w:lang w:val="en-GB"/>
              </w:rPr>
              <w:t>&gt;150</w:t>
            </w:r>
          </w:p>
        </w:tc>
      </w:tr>
      <w:tr w:rsidR="000D2DB7" w:rsidRPr="00F347FC" w:rsidTr="000D2DB7">
        <w:trPr>
          <w:trHeight w:val="282"/>
        </w:trPr>
        <w:tc>
          <w:tcPr>
            <w:tcW w:w="836"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Adana</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w:t>
            </w:r>
          </w:p>
        </w:tc>
        <w:tc>
          <w:tcPr>
            <w:tcW w:w="549"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1022</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320</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85</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54</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44</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25</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9</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27</w:t>
            </w:r>
          </w:p>
        </w:tc>
        <w:tc>
          <w:tcPr>
            <w:tcW w:w="557"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18</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92</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285</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253</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214</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91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16</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7</w:t>
            </w:r>
          </w:p>
        </w:tc>
      </w:tr>
      <w:tr w:rsidR="000D2DB7" w:rsidRPr="00F347FC" w:rsidTr="000D2DB7">
        <w:trPr>
          <w:trHeight w:val="282"/>
        </w:trPr>
        <w:tc>
          <w:tcPr>
            <w:tcW w:w="836"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Ankara</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8</w:t>
            </w:r>
          </w:p>
        </w:tc>
        <w:tc>
          <w:tcPr>
            <w:tcW w:w="549"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1084</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235</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122</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67</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59</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37</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26</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29</w:t>
            </w:r>
          </w:p>
        </w:tc>
        <w:tc>
          <w:tcPr>
            <w:tcW w:w="557"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1,8</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4</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113</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327</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276</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166</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80</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38</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25</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21</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17</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20</w:t>
            </w:r>
          </w:p>
        </w:tc>
      </w:tr>
      <w:tr w:rsidR="000D2DB7" w:rsidRPr="00F347FC" w:rsidTr="000D2DB7">
        <w:trPr>
          <w:trHeight w:val="282"/>
        </w:trPr>
        <w:tc>
          <w:tcPr>
            <w:tcW w:w="836"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Bursa</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w:t>
            </w:r>
          </w:p>
        </w:tc>
        <w:tc>
          <w:tcPr>
            <w:tcW w:w="549"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268</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42</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26</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16</w:t>
            </w:r>
          </w:p>
        </w:tc>
        <w:tc>
          <w:tcPr>
            <w:tcW w:w="557"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39</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48</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136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r>
      <w:tr w:rsidR="000D2DB7" w:rsidRPr="00F347FC" w:rsidTr="000D2DB7">
        <w:trPr>
          <w:trHeight w:val="282"/>
        </w:trPr>
        <w:tc>
          <w:tcPr>
            <w:tcW w:w="836"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İstanbul</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w:t>
            </w:r>
          </w:p>
        </w:tc>
        <w:tc>
          <w:tcPr>
            <w:tcW w:w="549"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1084</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169</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103</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67</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56</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35</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23</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25</w:t>
            </w:r>
          </w:p>
        </w:tc>
        <w:tc>
          <w:tcPr>
            <w:tcW w:w="557"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155</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306</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254</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171</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85</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62</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26</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13</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w:t>
            </w:r>
          </w:p>
        </w:tc>
      </w:tr>
      <w:tr w:rsidR="000D2DB7" w:rsidRPr="00F347FC" w:rsidTr="000D2DB7">
        <w:trPr>
          <w:trHeight w:val="282"/>
        </w:trPr>
        <w:tc>
          <w:tcPr>
            <w:tcW w:w="836"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Kayseri</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w:t>
            </w:r>
          </w:p>
        </w:tc>
        <w:tc>
          <w:tcPr>
            <w:tcW w:w="549"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717</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316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221</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102</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85</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45</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6</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57</w:t>
            </w:r>
          </w:p>
        </w:tc>
        <w:tc>
          <w:tcPr>
            <w:tcW w:w="557"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25</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148</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152</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102</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71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47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34</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88</w:t>
            </w:r>
          </w:p>
        </w:tc>
      </w:tr>
      <w:tr w:rsidR="000D2DB7" w:rsidRPr="00F347FC" w:rsidTr="000D2DB7">
        <w:trPr>
          <w:trHeight w:val="282"/>
        </w:trPr>
        <w:tc>
          <w:tcPr>
            <w:tcW w:w="836"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Kocaeli</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w:t>
            </w:r>
          </w:p>
        </w:tc>
        <w:tc>
          <w:tcPr>
            <w:tcW w:w="549"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1065</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208</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140</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79</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66</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39</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23</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7</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36</w:t>
            </w:r>
          </w:p>
        </w:tc>
        <w:tc>
          <w:tcPr>
            <w:tcW w:w="557"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1,4</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11</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99</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254</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238</w:t>
            </w:r>
          </w:p>
        </w:tc>
        <w:tc>
          <w:tcPr>
            <w:tcW w:w="440"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164</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98</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69</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41</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32</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15</w:t>
            </w:r>
          </w:p>
        </w:tc>
        <w:tc>
          <w:tcPr>
            <w:tcW w:w="383" w:type="dxa"/>
            <w:tcBorders>
              <w:top w:val="nil"/>
              <w:left w:val="nil"/>
              <w:bottom w:val="nil"/>
              <w:right w:val="nil"/>
            </w:tcBorders>
            <w:shd w:val="clear" w:color="000000" w:fill="FFFFFF"/>
            <w:noWrap/>
            <w:vAlign w:val="bottom"/>
            <w:hideMark/>
          </w:tcPr>
          <w:p w:rsidR="000D2DB7" w:rsidRPr="00F347FC" w:rsidRDefault="000D2DB7" w:rsidP="000D2DB7">
            <w:pPr>
              <w:pStyle w:val="Tablo"/>
              <w:rPr>
                <w:lang w:val="en-GB"/>
              </w:rPr>
            </w:pPr>
            <w:r w:rsidRPr="00F347FC">
              <w:rPr>
                <w:lang w:val="en-GB"/>
              </w:rPr>
              <w:t>44</w:t>
            </w:r>
          </w:p>
        </w:tc>
      </w:tr>
      <w:tr w:rsidR="000D2DB7" w:rsidRPr="00F347FC" w:rsidTr="000D2DB7">
        <w:trPr>
          <w:trHeight w:val="282"/>
        </w:trPr>
        <w:tc>
          <w:tcPr>
            <w:tcW w:w="836"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Samsun</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w:t>
            </w:r>
          </w:p>
        </w:tc>
        <w:tc>
          <w:tcPr>
            <w:tcW w:w="549"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686</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115</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83</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64</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51</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35</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8</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20</w:t>
            </w:r>
          </w:p>
        </w:tc>
        <w:tc>
          <w:tcPr>
            <w:tcW w:w="557"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lang w:val="en-GB"/>
              </w:rPr>
            </w:pP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23</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92</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191</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183</w:t>
            </w:r>
          </w:p>
        </w:tc>
        <w:tc>
          <w:tcPr>
            <w:tcW w:w="440"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127</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53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14</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3</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c>
          <w:tcPr>
            <w:tcW w:w="383" w:type="dxa"/>
            <w:tcBorders>
              <w:top w:val="nil"/>
              <w:left w:val="nil"/>
              <w:bottom w:val="nil"/>
              <w:right w:val="nil"/>
            </w:tcBorders>
            <w:shd w:val="clear" w:color="000000" w:fill="EEECE1"/>
            <w:noWrap/>
            <w:vAlign w:val="bottom"/>
            <w:hideMark/>
          </w:tcPr>
          <w:p w:rsidR="000D2DB7" w:rsidRPr="00F347FC" w:rsidRDefault="000D2DB7" w:rsidP="000D2DB7">
            <w:pPr>
              <w:pStyle w:val="Tablo"/>
              <w:rPr>
                <w:lang w:val="en-GB"/>
              </w:rPr>
            </w:pPr>
            <w:r w:rsidRPr="00F347FC">
              <w:rPr>
                <w:lang w:val="en-GB"/>
              </w:rPr>
              <w:t>0</w:t>
            </w:r>
          </w:p>
        </w:tc>
      </w:tr>
      <w:tr w:rsidR="000D2DB7" w:rsidRPr="00F347FC" w:rsidTr="000D2DB7">
        <w:trPr>
          <w:trHeight w:val="282"/>
        </w:trPr>
        <w:tc>
          <w:tcPr>
            <w:tcW w:w="836"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Average</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 </w:t>
            </w:r>
          </w:p>
        </w:tc>
        <w:tc>
          <w:tcPr>
            <w:tcW w:w="549"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847</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207</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116</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68</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56</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35</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19</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7</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30</w:t>
            </w:r>
          </w:p>
        </w:tc>
        <w:tc>
          <w:tcPr>
            <w:tcW w:w="557"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1,2</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4</w:t>
            </w:r>
          </w:p>
        </w:tc>
        <w:tc>
          <w:tcPr>
            <w:tcW w:w="190" w:type="dxa"/>
            <w:vMerge/>
            <w:tcBorders>
              <w:top w:val="single" w:sz="4" w:space="0" w:color="auto"/>
              <w:left w:val="nil"/>
              <w:bottom w:val="single" w:sz="4" w:space="0" w:color="000000"/>
              <w:right w:val="nil"/>
            </w:tcBorders>
            <w:vAlign w:val="center"/>
            <w:hideMark/>
          </w:tcPr>
          <w:p w:rsidR="000D2DB7" w:rsidRPr="00F347FC" w:rsidRDefault="000D2DB7" w:rsidP="000D2DB7">
            <w:pPr>
              <w:pStyle w:val="Tablo"/>
              <w:rPr>
                <w:b/>
                <w:lang w:val="en-GB"/>
              </w:rPr>
            </w:pP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25</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117</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231</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193</w:t>
            </w:r>
          </w:p>
        </w:tc>
        <w:tc>
          <w:tcPr>
            <w:tcW w:w="440"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118</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63</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35</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19</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14</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7</w:t>
            </w:r>
          </w:p>
        </w:tc>
        <w:tc>
          <w:tcPr>
            <w:tcW w:w="383" w:type="dxa"/>
            <w:tcBorders>
              <w:top w:val="nil"/>
              <w:left w:val="nil"/>
              <w:bottom w:val="single" w:sz="4" w:space="0" w:color="auto"/>
              <w:right w:val="nil"/>
            </w:tcBorders>
            <w:shd w:val="clear" w:color="000000" w:fill="FFFFFF"/>
            <w:noWrap/>
            <w:vAlign w:val="bottom"/>
            <w:hideMark/>
          </w:tcPr>
          <w:p w:rsidR="000D2DB7" w:rsidRPr="00F347FC" w:rsidRDefault="000D2DB7" w:rsidP="000D2DB7">
            <w:pPr>
              <w:pStyle w:val="Tablo"/>
              <w:rPr>
                <w:b/>
                <w:lang w:val="en-GB"/>
              </w:rPr>
            </w:pPr>
            <w:r w:rsidRPr="00F347FC">
              <w:rPr>
                <w:b/>
                <w:lang w:val="en-GB"/>
              </w:rPr>
              <w:t>23</w:t>
            </w:r>
          </w:p>
        </w:tc>
      </w:tr>
    </w:tbl>
    <w:p w:rsidR="00C6195D" w:rsidRPr="00B86ACD" w:rsidRDefault="00C6195D" w:rsidP="000D2DB7">
      <w:pPr>
        <w:pStyle w:val="metin"/>
        <w:ind w:firstLine="0"/>
      </w:pPr>
    </w:p>
    <w:p w:rsidR="009B029E" w:rsidRDefault="009B029E" w:rsidP="00BE34EF">
      <w:pPr>
        <w:spacing w:after="0" w:line="240" w:lineRule="auto"/>
        <w:jc w:val="both"/>
        <w:rPr>
          <w:rFonts w:ascii="Times New Roman" w:hAnsi="Times New Roman" w:cs="Times New Roman"/>
          <w:sz w:val="20"/>
          <w:szCs w:val="20"/>
          <w:lang w:val="en-US"/>
        </w:rPr>
        <w:sectPr w:rsidR="009B029E" w:rsidSect="00731ACB">
          <w:type w:val="continuous"/>
          <w:pgSz w:w="11906" w:h="16838" w:code="9"/>
          <w:pgMar w:top="851" w:right="851" w:bottom="851" w:left="851" w:header="454" w:footer="454" w:gutter="0"/>
          <w:cols w:space="340"/>
          <w:docGrid w:linePitch="360" w:charSpace="-2458"/>
        </w:sectPr>
      </w:pPr>
    </w:p>
    <w:p w:rsidR="00E755B2" w:rsidRPr="00B86ACD" w:rsidRDefault="00E755B2" w:rsidP="00C031D8">
      <w:pPr>
        <w:pStyle w:val="metin"/>
      </w:pPr>
      <w:r w:rsidRPr="00B86ACD">
        <w:tab/>
        <w:t>The descriptive statistics and frequency distribution of the average values of NO</w:t>
      </w:r>
      <w:r w:rsidRPr="00B86ACD">
        <w:rPr>
          <w:vertAlign w:val="subscript"/>
        </w:rPr>
        <w:t>2</w:t>
      </w:r>
      <w:r w:rsidRPr="00B86ACD">
        <w:t xml:space="preserve"> concentration</w:t>
      </w:r>
      <w:r w:rsidR="00EA70DD" w:rsidRPr="00B86ACD">
        <w:t>s from 22 air quality stations in 7 metropolitan areas</w:t>
      </w:r>
      <w:r w:rsidRPr="00B86ACD">
        <w:t xml:space="preserve"> </w:t>
      </w:r>
      <w:r w:rsidR="00EA70DD" w:rsidRPr="00B86ACD">
        <w:t>are</w:t>
      </w:r>
      <w:r w:rsidRPr="00B86ACD">
        <w:t xml:space="preserve"> shown in Table 3 and Fig. 5. This table indicates that the NS is more than one in some metropolitan areas, i.e., Ankara 8, İstanbul 6, Ad</w:t>
      </w:r>
      <w:r w:rsidR="00EA70DD" w:rsidRPr="00B86ACD">
        <w:t>ana 2, Kocaeli 2, but the other cities</w:t>
      </w:r>
      <w:r w:rsidRPr="00B86ACD">
        <w:t xml:space="preserve"> have </w:t>
      </w:r>
      <w:r w:rsidR="00EA70DD" w:rsidRPr="00B86ACD">
        <w:t>only</w:t>
      </w:r>
      <w:r w:rsidRPr="00B86ACD">
        <w:t xml:space="preserve"> one station. The number of DAD ranges between 1084 and 268, nevertheless, Bursa has only last year data. The average daily value changes between 33 µgm</w:t>
      </w:r>
      <w:r w:rsidRPr="00B86ACD">
        <w:rPr>
          <w:vertAlign w:val="superscript"/>
        </w:rPr>
        <w:t>-3</w:t>
      </w:r>
      <w:r w:rsidRPr="00B86ACD">
        <w:t xml:space="preserve"> (Bursa) and 85 µgm</w:t>
      </w:r>
      <w:r w:rsidRPr="00B86ACD">
        <w:rPr>
          <w:vertAlign w:val="superscript"/>
        </w:rPr>
        <w:t>-3</w:t>
      </w:r>
      <w:r w:rsidRPr="00B86ACD">
        <w:t xml:space="preserve"> (Kayseri). The average daily maximum NO</w:t>
      </w:r>
      <w:r w:rsidRPr="00B86ACD">
        <w:rPr>
          <w:vertAlign w:val="subscript"/>
        </w:rPr>
        <w:t>2</w:t>
      </w:r>
      <w:r w:rsidRPr="00B86ACD">
        <w:t xml:space="preserve"> concentration ranges between 320 µgm</w:t>
      </w:r>
      <w:r w:rsidRPr="00B86ACD">
        <w:rPr>
          <w:vertAlign w:val="superscript"/>
        </w:rPr>
        <w:t>-3</w:t>
      </w:r>
      <w:r w:rsidRPr="00B86ACD">
        <w:t xml:space="preserve"> in Adana and 86 µgm</w:t>
      </w:r>
      <w:r w:rsidRPr="00B86ACD">
        <w:rPr>
          <w:vertAlign w:val="superscript"/>
        </w:rPr>
        <w:t>-3</w:t>
      </w:r>
      <w:r w:rsidRPr="00B86ACD">
        <w:t xml:space="preserve"> in Bursa, whereas the average daily minimum value is 3 µgm</w:t>
      </w:r>
      <w:r w:rsidRPr="00B86ACD">
        <w:rPr>
          <w:vertAlign w:val="superscript"/>
        </w:rPr>
        <w:t>-3</w:t>
      </w:r>
      <w:r w:rsidRPr="00B86ACD">
        <w:t xml:space="preserve"> in Bursa and 10 µgm</w:t>
      </w:r>
      <w:r w:rsidRPr="00B86ACD">
        <w:rPr>
          <w:vertAlign w:val="superscript"/>
        </w:rPr>
        <w:t>-3</w:t>
      </w:r>
      <w:r w:rsidRPr="00B86ACD">
        <w:t xml:space="preserve"> in Ankara and İstanbul. The averages value of 95%, 75%, 25% and 5% NO</w:t>
      </w:r>
      <w:r w:rsidRPr="00B86ACD">
        <w:rPr>
          <w:vertAlign w:val="subscript"/>
        </w:rPr>
        <w:t>2</w:t>
      </w:r>
      <w:r w:rsidRPr="00B86ACD">
        <w:t xml:space="preserve"> percentiles are 116 µgm</w:t>
      </w:r>
      <w:r w:rsidRPr="00B86ACD">
        <w:rPr>
          <w:vertAlign w:val="superscript"/>
        </w:rPr>
        <w:t>-3</w:t>
      </w:r>
      <w:r w:rsidRPr="00B86ACD">
        <w:t>, 68 µgm</w:t>
      </w:r>
      <w:r w:rsidRPr="00B86ACD">
        <w:rPr>
          <w:vertAlign w:val="superscript"/>
        </w:rPr>
        <w:t>-3</w:t>
      </w:r>
      <w:r w:rsidRPr="00B86ACD">
        <w:t>, 35 µgm</w:t>
      </w:r>
      <w:r w:rsidRPr="00B86ACD">
        <w:rPr>
          <w:vertAlign w:val="superscript"/>
        </w:rPr>
        <w:t>-3</w:t>
      </w:r>
      <w:r w:rsidRPr="00B86ACD">
        <w:t xml:space="preserve"> and 19 µgm</w:t>
      </w:r>
      <w:r w:rsidRPr="00B86ACD">
        <w:rPr>
          <w:vertAlign w:val="superscript"/>
        </w:rPr>
        <w:t>-3</w:t>
      </w:r>
      <w:r w:rsidRPr="00B86ACD">
        <w:t>, respectively. The percentile intervals 5</w:t>
      </w:r>
      <w:r w:rsidRPr="00B86ACD">
        <w:rPr>
          <w:vertAlign w:val="superscript"/>
        </w:rPr>
        <w:t>th</w:t>
      </w:r>
      <w:r w:rsidRPr="00B86ACD">
        <w:t>-95</w:t>
      </w:r>
      <w:r w:rsidRPr="00B86ACD">
        <w:rPr>
          <w:vertAlign w:val="superscript"/>
        </w:rPr>
        <w:t>th</w:t>
      </w:r>
      <w:r w:rsidRPr="00B86ACD">
        <w:t xml:space="preserve"> and 25</w:t>
      </w:r>
      <w:r w:rsidRPr="00B86ACD">
        <w:rPr>
          <w:vertAlign w:val="superscript"/>
        </w:rPr>
        <w:t>th</w:t>
      </w:r>
      <w:r w:rsidRPr="00B86ACD">
        <w:t>-75</w:t>
      </w:r>
      <w:r w:rsidRPr="00B86ACD">
        <w:rPr>
          <w:vertAlign w:val="superscript"/>
        </w:rPr>
        <w:t>th</w:t>
      </w:r>
      <w:r w:rsidR="00EA70DD" w:rsidRPr="00B86ACD">
        <w:t xml:space="preserve"> value</w:t>
      </w:r>
      <w:r w:rsidRPr="00B86ACD">
        <w:t xml:space="preserve"> as 97 µgm</w:t>
      </w:r>
      <w:r w:rsidRPr="00B86ACD">
        <w:rPr>
          <w:vertAlign w:val="superscript"/>
        </w:rPr>
        <w:t>-3</w:t>
      </w:r>
      <w:r w:rsidRPr="00B86ACD">
        <w:t>, 33 µgm</w:t>
      </w:r>
      <w:r w:rsidRPr="00B86ACD">
        <w:rPr>
          <w:vertAlign w:val="superscript"/>
        </w:rPr>
        <w:t>-3</w:t>
      </w:r>
      <w:r w:rsidRPr="00B86ACD">
        <w:t>, respectively. The variation in daily data is highest in Kayseri and the lowest in Bursa with a standard deviation of 67 µgm</w:t>
      </w:r>
      <w:r w:rsidRPr="00B86ACD">
        <w:rPr>
          <w:vertAlign w:val="superscript"/>
        </w:rPr>
        <w:t xml:space="preserve">-3 </w:t>
      </w:r>
      <w:r w:rsidRPr="00B86ACD">
        <w:t>and 16 µgm</w:t>
      </w:r>
      <w:r w:rsidRPr="00B86ACD">
        <w:rPr>
          <w:vertAlign w:val="superscript"/>
        </w:rPr>
        <w:t>-3</w:t>
      </w:r>
      <w:r w:rsidRPr="00B86ACD">
        <w:t>, respectively. The highest and the lowest skewness values are 2.7 µgm</w:t>
      </w:r>
      <w:r w:rsidRPr="00B86ACD">
        <w:rPr>
          <w:vertAlign w:val="superscript"/>
        </w:rPr>
        <w:t xml:space="preserve">-3 </w:t>
      </w:r>
      <w:r w:rsidRPr="00B86ACD">
        <w:t>and -0.3 µgm</w:t>
      </w:r>
      <w:r w:rsidRPr="00B86ACD">
        <w:rPr>
          <w:vertAlign w:val="superscript"/>
        </w:rPr>
        <w:t xml:space="preserve">-3 </w:t>
      </w:r>
      <w:r w:rsidRPr="00B86ACD">
        <w:t>at Adana and Bursa stations, respectively, with averages 1.2 µgm</w:t>
      </w:r>
      <w:r w:rsidRPr="00B86ACD">
        <w:rPr>
          <w:vertAlign w:val="superscript"/>
        </w:rPr>
        <w:t>-3</w:t>
      </w:r>
      <w:r w:rsidRPr="00B86ACD">
        <w:t>. The kurtosis value is 18 µgm</w:t>
      </w:r>
      <w:r w:rsidRPr="00B86ACD">
        <w:rPr>
          <w:vertAlign w:val="superscript"/>
        </w:rPr>
        <w:t xml:space="preserve">-3 </w:t>
      </w:r>
      <w:r w:rsidRPr="00B86ACD">
        <w:t>in Adana and 0 µgm</w:t>
      </w:r>
      <w:r w:rsidRPr="00B86ACD">
        <w:rPr>
          <w:vertAlign w:val="superscript"/>
        </w:rPr>
        <w:t xml:space="preserve">-3 </w:t>
      </w:r>
      <w:r w:rsidRPr="00B86ACD">
        <w:t>in Samsun and Bursa, with averages 4 µgm</w:t>
      </w:r>
      <w:r w:rsidRPr="00B86ACD">
        <w:rPr>
          <w:vertAlign w:val="superscript"/>
        </w:rPr>
        <w:t>-3</w:t>
      </w:r>
      <w:r w:rsidRPr="00B86ACD">
        <w:t xml:space="preserve">. As shown </w:t>
      </w:r>
      <w:r w:rsidR="00EA70DD" w:rsidRPr="00B86ACD">
        <w:t>in</w:t>
      </w:r>
      <w:r w:rsidRPr="00B86ACD">
        <w:t xml:space="preserve"> Table 3 (right panel) and Figure 5 (right panel), the frequency distribution of daily NO</w:t>
      </w:r>
      <w:r w:rsidRPr="00B86ACD">
        <w:rPr>
          <w:vertAlign w:val="subscript"/>
        </w:rPr>
        <w:t>2</w:t>
      </w:r>
      <w:r w:rsidRPr="00B86ACD">
        <w:t xml:space="preserve"> concentration distribution shows a peak at 27%, within 30–45 µgm</w:t>
      </w:r>
      <w:r w:rsidRPr="00B86ACD">
        <w:rPr>
          <w:vertAlign w:val="superscript"/>
        </w:rPr>
        <w:t>-3</w:t>
      </w:r>
      <w:r w:rsidRPr="00B86ACD">
        <w:t xml:space="preserve"> range and another one at 23%, within 45–60 µgm</w:t>
      </w:r>
      <w:r w:rsidRPr="00B86ACD">
        <w:rPr>
          <w:vertAlign w:val="superscript"/>
        </w:rPr>
        <w:t>-3</w:t>
      </w:r>
      <w:r w:rsidRPr="00B86ACD">
        <w:t xml:space="preserve"> range and finally, 67% is less than 60 µgm</w:t>
      </w:r>
      <w:r w:rsidRPr="00B86ACD">
        <w:rPr>
          <w:vertAlign w:val="superscript"/>
        </w:rPr>
        <w:t>-3</w:t>
      </w:r>
      <w:r w:rsidRPr="00B86ACD">
        <w:t xml:space="preserve">. </w:t>
      </w:r>
    </w:p>
    <w:p w:rsidR="00431540" w:rsidRPr="000D2DB7" w:rsidRDefault="000D2DB7" w:rsidP="000D2DB7">
      <w:pPr>
        <w:pStyle w:val="metin"/>
        <w:ind w:firstLine="0"/>
      </w:pPr>
      <w:r>
        <w:rPr>
          <w:noProof/>
          <w:lang w:val="tr-TR" w:eastAsia="tr-TR"/>
        </w:rPr>
        <w:drawing>
          <wp:inline distT="0" distB="0" distL="0" distR="0" wp14:anchorId="45A23829">
            <wp:extent cx="3240000" cy="216000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p w:rsidR="00E755B2" w:rsidRPr="00F347FC" w:rsidRDefault="00C6195D" w:rsidP="00C6195D">
      <w:pPr>
        <w:pStyle w:val="ResimYazs"/>
        <w:rPr>
          <w:rFonts w:cs="Times New Roman"/>
          <w:i w:val="0"/>
          <w:szCs w:val="20"/>
          <w:lang w:val="en-GB"/>
        </w:rPr>
      </w:pPr>
      <w:r w:rsidRPr="00F347FC">
        <w:rPr>
          <w:lang w:val="en-GB"/>
        </w:rPr>
        <w:t xml:space="preserve">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5</w:t>
      </w:r>
      <w:r w:rsidRPr="00F347FC">
        <w:rPr>
          <w:lang w:val="en-GB"/>
        </w:rPr>
        <w:fldChar w:fldCharType="end"/>
      </w:r>
      <w:r w:rsidRPr="00F347FC">
        <w:rPr>
          <w:lang w:val="en-GB"/>
        </w:rPr>
        <w:t>. Descriptive statistical values (left panel) and frequency histogram of average value of NO</w:t>
      </w:r>
      <w:r w:rsidRPr="00F347FC">
        <w:rPr>
          <w:vertAlign w:val="subscript"/>
          <w:lang w:val="en-GB"/>
        </w:rPr>
        <w:t>2</w:t>
      </w:r>
      <w:r w:rsidRPr="00F347FC">
        <w:rPr>
          <w:lang w:val="en-GB"/>
        </w:rPr>
        <w:t xml:space="preserve"> data (right panel).</w:t>
      </w:r>
    </w:p>
    <w:p w:rsidR="00E755B2" w:rsidRPr="00B86ACD" w:rsidRDefault="00E755B2" w:rsidP="00BE34EF">
      <w:pPr>
        <w:pStyle w:val="Basliklar2"/>
      </w:pPr>
      <w:r w:rsidRPr="00B86ACD">
        <w:t>3.4 The statistical characteristics of O3 concentration</w:t>
      </w:r>
    </w:p>
    <w:p w:rsidR="00E755B2" w:rsidRDefault="00E755B2" w:rsidP="00C031D8">
      <w:pPr>
        <w:pStyle w:val="metin"/>
      </w:pPr>
      <w:r w:rsidRPr="00B86ACD">
        <w:t>Ground-level ozone (O</w:t>
      </w:r>
      <w:r w:rsidRPr="00B86ACD">
        <w:rPr>
          <w:vertAlign w:val="subscript"/>
        </w:rPr>
        <w:t>3</w:t>
      </w:r>
      <w:r w:rsidRPr="00B86ACD">
        <w:t>) is a secondary pollutant produced by the reaction between NO</w:t>
      </w:r>
      <w:r w:rsidRPr="00B86ACD">
        <w:rPr>
          <w:vertAlign w:val="subscript"/>
        </w:rPr>
        <w:t>2</w:t>
      </w:r>
      <w:r w:rsidRPr="00B86ACD">
        <w:t>, volatile organic compounds and sunlight and can induce a variety of health problems such as chest pain, throat irritation, coughing and congestion. The data were obtained from 10 monitoring stations in 4 metropolitan areas, Adana 4, Ankara 3, İstanbul 2 and Kocaeli 1 during 2010-2012 periods. The statistical characteristics and frequency distribution of O</w:t>
      </w:r>
      <w:r w:rsidRPr="00B86ACD">
        <w:rPr>
          <w:vertAlign w:val="subscript"/>
        </w:rPr>
        <w:t>3</w:t>
      </w:r>
      <w:r w:rsidRPr="00B86ACD">
        <w:t xml:space="preserve"> concentration </w:t>
      </w:r>
      <w:r w:rsidR="0056132B" w:rsidRPr="00B86ACD">
        <w:t>are</w:t>
      </w:r>
      <w:r w:rsidRPr="00B86ACD">
        <w:t xml:space="preserve"> shown in Table 4 and Fig. 6.</w:t>
      </w:r>
    </w:p>
    <w:p w:rsidR="000D2DB7" w:rsidRDefault="000D2DB7" w:rsidP="0056132B">
      <w:pPr>
        <w:spacing w:before="120" w:after="120" w:line="240" w:lineRule="auto"/>
        <w:jc w:val="both"/>
        <w:rPr>
          <w:rFonts w:ascii="Times New Roman" w:hAnsi="Times New Roman" w:cs="Times New Roman"/>
          <w:sz w:val="20"/>
          <w:szCs w:val="20"/>
          <w:lang w:val="en-US"/>
        </w:rPr>
        <w:sectPr w:rsidR="000D2DB7" w:rsidSect="00731ACB">
          <w:headerReference w:type="first" r:id="rId20"/>
          <w:type w:val="continuous"/>
          <w:pgSz w:w="11906" w:h="16838" w:code="9"/>
          <w:pgMar w:top="851" w:right="851" w:bottom="851" w:left="851" w:header="454" w:footer="454" w:gutter="0"/>
          <w:cols w:num="2" w:space="340"/>
          <w:titlePg/>
          <w:docGrid w:linePitch="360" w:charSpace="-2458"/>
        </w:sectPr>
      </w:pPr>
    </w:p>
    <w:p w:rsidR="00085C9E" w:rsidRPr="00B86ACD" w:rsidRDefault="00085C9E" w:rsidP="0056132B">
      <w:pPr>
        <w:spacing w:before="120" w:after="120" w:line="240" w:lineRule="auto"/>
        <w:jc w:val="both"/>
        <w:rPr>
          <w:rFonts w:ascii="Times New Roman" w:hAnsi="Times New Roman" w:cs="Times New Roman"/>
          <w:sz w:val="20"/>
          <w:szCs w:val="20"/>
          <w:lang w:val="en-US"/>
        </w:rPr>
      </w:pPr>
      <w:r w:rsidRPr="00B86ACD">
        <w:rPr>
          <w:rFonts w:ascii="Times New Roman" w:hAnsi="Times New Roman" w:cs="Times New Roman"/>
          <w:sz w:val="20"/>
          <w:szCs w:val="20"/>
          <w:lang w:val="en-US"/>
        </w:rPr>
        <w:t>Table</w:t>
      </w:r>
      <w:r w:rsidRPr="00B86ACD">
        <w:rPr>
          <w:rFonts w:ascii="Times New Roman" w:hAnsi="Times New Roman" w:cs="Times New Roman"/>
          <w:b/>
          <w:sz w:val="20"/>
          <w:szCs w:val="20"/>
          <w:lang w:val="en-US"/>
        </w:rPr>
        <w:t xml:space="preserve"> 4</w:t>
      </w:r>
      <w:r w:rsidRPr="00B86ACD">
        <w:rPr>
          <w:rFonts w:ascii="Times New Roman" w:hAnsi="Times New Roman" w:cs="Times New Roman"/>
          <w:sz w:val="20"/>
          <w:szCs w:val="20"/>
          <w:lang w:val="en-US"/>
        </w:rPr>
        <w:t xml:space="preserve"> Descriptive statistical values and frequency histogram for O</w:t>
      </w:r>
      <w:r w:rsidRPr="00B86ACD">
        <w:rPr>
          <w:rFonts w:ascii="Times New Roman" w:hAnsi="Times New Roman" w:cs="Times New Roman"/>
          <w:sz w:val="20"/>
          <w:szCs w:val="20"/>
          <w:vertAlign w:val="subscript"/>
          <w:lang w:val="en-US"/>
        </w:rPr>
        <w:t>3</w:t>
      </w:r>
      <w:r w:rsidRPr="00B86ACD">
        <w:rPr>
          <w:rFonts w:ascii="Times New Roman" w:hAnsi="Times New Roman" w:cs="Times New Roman"/>
          <w:sz w:val="20"/>
          <w:szCs w:val="20"/>
          <w:lang w:val="en-US"/>
        </w:rPr>
        <w:t xml:space="preserve"> during 2010-2012.</w:t>
      </w:r>
    </w:p>
    <w:tbl>
      <w:tblPr>
        <w:tblW w:w="9563" w:type="dxa"/>
        <w:tblInd w:w="70" w:type="dxa"/>
        <w:tblCellMar>
          <w:left w:w="70" w:type="dxa"/>
          <w:right w:w="70" w:type="dxa"/>
        </w:tblCellMar>
        <w:tblLook w:val="04A0" w:firstRow="1" w:lastRow="0" w:firstColumn="1" w:lastColumn="0" w:noHBand="0" w:noVBand="1"/>
      </w:tblPr>
      <w:tblGrid>
        <w:gridCol w:w="819"/>
        <w:gridCol w:w="370"/>
        <w:gridCol w:w="545"/>
        <w:gridCol w:w="433"/>
        <w:gridCol w:w="371"/>
        <w:gridCol w:w="371"/>
        <w:gridCol w:w="371"/>
        <w:gridCol w:w="371"/>
        <w:gridCol w:w="371"/>
        <w:gridCol w:w="371"/>
        <w:gridCol w:w="371"/>
        <w:gridCol w:w="384"/>
        <w:gridCol w:w="482"/>
        <w:gridCol w:w="175"/>
        <w:gridCol w:w="433"/>
        <w:gridCol w:w="433"/>
        <w:gridCol w:w="433"/>
        <w:gridCol w:w="433"/>
        <w:gridCol w:w="371"/>
        <w:gridCol w:w="371"/>
        <w:gridCol w:w="371"/>
        <w:gridCol w:w="371"/>
        <w:gridCol w:w="371"/>
        <w:gridCol w:w="371"/>
        <w:gridCol w:w="371"/>
      </w:tblGrid>
      <w:tr w:rsidR="000D2DB7" w:rsidRPr="000D2DB7" w:rsidTr="000D2DB7">
        <w:trPr>
          <w:trHeight w:val="300"/>
        </w:trPr>
        <w:tc>
          <w:tcPr>
            <w:tcW w:w="796" w:type="dxa"/>
            <w:tcBorders>
              <w:top w:val="single" w:sz="4" w:space="0" w:color="auto"/>
              <w:left w:val="nil"/>
              <w:bottom w:val="nil"/>
              <w:right w:val="nil"/>
            </w:tcBorders>
            <w:shd w:val="clear" w:color="000000" w:fill="FFFFFF"/>
            <w:noWrap/>
            <w:vAlign w:val="bottom"/>
            <w:hideMark/>
          </w:tcPr>
          <w:p w:rsidR="000D2DB7" w:rsidRPr="006C09F8" w:rsidRDefault="000D2DB7" w:rsidP="006C09F8">
            <w:pPr>
              <w:pStyle w:val="Tablo"/>
              <w:jc w:val="center"/>
              <w:rPr>
                <w:b/>
              </w:rPr>
            </w:pPr>
            <w:r w:rsidRPr="006C09F8">
              <w:rPr>
                <w:b/>
              </w:rPr>
              <w:t>O</w:t>
            </w:r>
            <w:r w:rsidRPr="006C09F8">
              <w:rPr>
                <w:b/>
                <w:vertAlign w:val="subscript"/>
              </w:rPr>
              <w:t>3</w:t>
            </w:r>
          </w:p>
        </w:tc>
        <w:tc>
          <w:tcPr>
            <w:tcW w:w="356" w:type="dxa"/>
            <w:tcBorders>
              <w:top w:val="single" w:sz="4" w:space="0" w:color="auto"/>
              <w:left w:val="nil"/>
              <w:bottom w:val="nil"/>
              <w:right w:val="nil"/>
            </w:tcBorders>
            <w:shd w:val="clear" w:color="000000" w:fill="FFFFFF"/>
            <w:noWrap/>
            <w:vAlign w:val="bottom"/>
            <w:hideMark/>
          </w:tcPr>
          <w:p w:rsidR="000D2DB7" w:rsidRPr="006C09F8" w:rsidRDefault="000D2DB7" w:rsidP="006C09F8">
            <w:pPr>
              <w:pStyle w:val="Tablo"/>
              <w:jc w:val="center"/>
              <w:rPr>
                <w:b/>
              </w:rPr>
            </w:pPr>
          </w:p>
        </w:tc>
        <w:tc>
          <w:tcPr>
            <w:tcW w:w="4159" w:type="dxa"/>
            <w:gridSpan w:val="11"/>
            <w:tcBorders>
              <w:top w:val="single" w:sz="4" w:space="0" w:color="auto"/>
              <w:left w:val="nil"/>
              <w:bottom w:val="single" w:sz="4" w:space="0" w:color="auto"/>
              <w:right w:val="nil"/>
            </w:tcBorders>
            <w:shd w:val="clear" w:color="000000" w:fill="FFFFFF"/>
            <w:noWrap/>
            <w:vAlign w:val="bottom"/>
            <w:hideMark/>
          </w:tcPr>
          <w:p w:rsidR="000D2DB7" w:rsidRPr="006C09F8" w:rsidRDefault="000D2DB7" w:rsidP="006C09F8">
            <w:pPr>
              <w:pStyle w:val="Tablo"/>
              <w:jc w:val="center"/>
              <w:rPr>
                <w:b/>
              </w:rPr>
            </w:pPr>
            <w:r w:rsidRPr="006C09F8">
              <w:rPr>
                <w:b/>
              </w:rPr>
              <w:t>Descriptive statistics</w:t>
            </w:r>
          </w:p>
        </w:tc>
        <w:tc>
          <w:tcPr>
            <w:tcW w:w="176" w:type="dxa"/>
            <w:vMerge w:val="restart"/>
            <w:tcBorders>
              <w:top w:val="single" w:sz="4" w:space="0" w:color="auto"/>
              <w:left w:val="nil"/>
              <w:bottom w:val="single" w:sz="4" w:space="0" w:color="000000"/>
              <w:right w:val="nil"/>
            </w:tcBorders>
            <w:shd w:val="clear" w:color="000000" w:fill="DDD9C4"/>
            <w:noWrap/>
            <w:vAlign w:val="bottom"/>
            <w:hideMark/>
          </w:tcPr>
          <w:p w:rsidR="000D2DB7" w:rsidRPr="006C09F8" w:rsidRDefault="000D2DB7" w:rsidP="006C09F8">
            <w:pPr>
              <w:pStyle w:val="Tablo"/>
              <w:jc w:val="center"/>
              <w:rPr>
                <w:b/>
              </w:rPr>
            </w:pPr>
          </w:p>
        </w:tc>
        <w:tc>
          <w:tcPr>
            <w:tcW w:w="4076" w:type="dxa"/>
            <w:gridSpan w:val="11"/>
            <w:tcBorders>
              <w:top w:val="single" w:sz="4" w:space="0" w:color="auto"/>
              <w:left w:val="nil"/>
              <w:bottom w:val="single" w:sz="4" w:space="0" w:color="auto"/>
              <w:right w:val="nil"/>
            </w:tcBorders>
            <w:shd w:val="clear" w:color="000000" w:fill="FFFFFF"/>
            <w:noWrap/>
            <w:vAlign w:val="bottom"/>
            <w:hideMark/>
          </w:tcPr>
          <w:p w:rsidR="000D2DB7" w:rsidRPr="006C09F8" w:rsidRDefault="000D2DB7" w:rsidP="006C09F8">
            <w:pPr>
              <w:pStyle w:val="Tablo"/>
              <w:jc w:val="center"/>
              <w:rPr>
                <w:b/>
              </w:rPr>
            </w:pPr>
            <w:r w:rsidRPr="006C09F8">
              <w:rPr>
                <w:b/>
              </w:rPr>
              <w:t>Frequency histograms</w:t>
            </w:r>
          </w:p>
        </w:tc>
      </w:tr>
      <w:tr w:rsidR="00731ACB" w:rsidRPr="000D2DB7" w:rsidTr="000D2DB7">
        <w:trPr>
          <w:trHeight w:val="840"/>
        </w:trPr>
        <w:tc>
          <w:tcPr>
            <w:tcW w:w="796" w:type="dxa"/>
            <w:tcBorders>
              <w:top w:val="nil"/>
              <w:left w:val="nil"/>
              <w:bottom w:val="nil"/>
              <w:right w:val="nil"/>
            </w:tcBorders>
            <w:shd w:val="clear" w:color="000000" w:fill="FFFFFF"/>
            <w:noWrap/>
            <w:vAlign w:val="bottom"/>
            <w:hideMark/>
          </w:tcPr>
          <w:p w:rsidR="000D2DB7" w:rsidRPr="006C09F8" w:rsidRDefault="000D2DB7" w:rsidP="000D2DB7">
            <w:pPr>
              <w:pStyle w:val="Tablo"/>
              <w:rPr>
                <w:b/>
              </w:rPr>
            </w:pPr>
            <w:r w:rsidRPr="006C09F8">
              <w:rPr>
                <w:b/>
              </w:rPr>
              <w:t>City</w:t>
            </w:r>
          </w:p>
        </w:tc>
        <w:tc>
          <w:tcPr>
            <w:tcW w:w="356"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NS</w:t>
            </w:r>
          </w:p>
        </w:tc>
        <w:tc>
          <w:tcPr>
            <w:tcW w:w="554"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DAD</w:t>
            </w:r>
          </w:p>
        </w:tc>
        <w:tc>
          <w:tcPr>
            <w:tcW w:w="415"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Max</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95%</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75%</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Average</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25%</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5%</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Min</w:t>
            </w:r>
          </w:p>
        </w:tc>
        <w:tc>
          <w:tcPr>
            <w:tcW w:w="337"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Std</w:t>
            </w:r>
          </w:p>
        </w:tc>
        <w:tc>
          <w:tcPr>
            <w:tcW w:w="346"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Skw</w:t>
            </w:r>
          </w:p>
        </w:tc>
        <w:tc>
          <w:tcPr>
            <w:tcW w:w="485"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Kur</w:t>
            </w:r>
          </w:p>
        </w:tc>
        <w:tc>
          <w:tcPr>
            <w:tcW w:w="176" w:type="dxa"/>
            <w:vMerge/>
            <w:tcBorders>
              <w:top w:val="single" w:sz="4" w:space="0" w:color="auto"/>
              <w:left w:val="nil"/>
              <w:bottom w:val="single" w:sz="4" w:space="0" w:color="000000"/>
              <w:right w:val="nil"/>
            </w:tcBorders>
            <w:vAlign w:val="center"/>
            <w:hideMark/>
          </w:tcPr>
          <w:p w:rsidR="000D2DB7" w:rsidRPr="006C09F8" w:rsidRDefault="000D2DB7" w:rsidP="000D2DB7">
            <w:pPr>
              <w:pStyle w:val="Tablo"/>
              <w:rPr>
                <w:b/>
              </w:rPr>
            </w:pPr>
          </w:p>
        </w:tc>
        <w:tc>
          <w:tcPr>
            <w:tcW w:w="423"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0-10</w:t>
            </w:r>
          </w:p>
        </w:tc>
        <w:tc>
          <w:tcPr>
            <w:tcW w:w="422"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10-20</w:t>
            </w:r>
          </w:p>
        </w:tc>
        <w:tc>
          <w:tcPr>
            <w:tcW w:w="422"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20-30</w:t>
            </w:r>
          </w:p>
        </w:tc>
        <w:tc>
          <w:tcPr>
            <w:tcW w:w="422"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30-40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40-50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50-60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60-70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70-80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80-90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90-100</w:t>
            </w:r>
          </w:p>
        </w:tc>
        <w:tc>
          <w:tcPr>
            <w:tcW w:w="341" w:type="dxa"/>
            <w:tcBorders>
              <w:top w:val="nil"/>
              <w:left w:val="nil"/>
              <w:bottom w:val="nil"/>
              <w:right w:val="nil"/>
            </w:tcBorders>
            <w:shd w:val="clear" w:color="000000" w:fill="FFFFFF"/>
            <w:noWrap/>
            <w:textDirection w:val="btLr"/>
            <w:vAlign w:val="bottom"/>
            <w:hideMark/>
          </w:tcPr>
          <w:p w:rsidR="000D2DB7" w:rsidRPr="006C09F8" w:rsidRDefault="000D2DB7" w:rsidP="000D2DB7">
            <w:pPr>
              <w:pStyle w:val="Tablo"/>
              <w:rPr>
                <w:b/>
              </w:rPr>
            </w:pPr>
            <w:r w:rsidRPr="006C09F8">
              <w:rPr>
                <w:b/>
              </w:rPr>
              <w:t>&gt;100</w:t>
            </w:r>
          </w:p>
        </w:tc>
      </w:tr>
      <w:tr w:rsidR="00731ACB" w:rsidRPr="000D2DB7" w:rsidTr="000D2DB7">
        <w:trPr>
          <w:trHeight w:val="282"/>
        </w:trPr>
        <w:tc>
          <w:tcPr>
            <w:tcW w:w="79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Adana</w:t>
            </w:r>
          </w:p>
        </w:tc>
        <w:tc>
          <w:tcPr>
            <w:tcW w:w="35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4</w:t>
            </w:r>
          </w:p>
        </w:tc>
        <w:tc>
          <w:tcPr>
            <w:tcW w:w="554"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1077</w:t>
            </w:r>
          </w:p>
        </w:tc>
        <w:tc>
          <w:tcPr>
            <w:tcW w:w="415"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228</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70</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45</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39</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23</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10</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3</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24</w:t>
            </w:r>
          </w:p>
        </w:tc>
        <w:tc>
          <w:tcPr>
            <w:tcW w:w="34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3,0</w:t>
            </w:r>
          </w:p>
        </w:tc>
        <w:tc>
          <w:tcPr>
            <w:tcW w:w="485"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15,0</w:t>
            </w:r>
          </w:p>
        </w:tc>
        <w:tc>
          <w:tcPr>
            <w:tcW w:w="176" w:type="dxa"/>
            <w:vMerge/>
            <w:tcBorders>
              <w:top w:val="single" w:sz="4" w:space="0" w:color="auto"/>
              <w:left w:val="nil"/>
              <w:bottom w:val="single" w:sz="4" w:space="0" w:color="000000"/>
              <w:right w:val="nil"/>
            </w:tcBorders>
            <w:vAlign w:val="center"/>
            <w:hideMark/>
          </w:tcPr>
          <w:p w:rsidR="000D2DB7" w:rsidRPr="000D2DB7" w:rsidRDefault="000D2DB7" w:rsidP="000D2DB7">
            <w:pPr>
              <w:pStyle w:val="Tablo"/>
            </w:pPr>
          </w:p>
        </w:tc>
        <w:tc>
          <w:tcPr>
            <w:tcW w:w="423"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48</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154</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177</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164</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90</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57</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17</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4</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4</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3</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5</w:t>
            </w:r>
          </w:p>
        </w:tc>
      </w:tr>
      <w:tr w:rsidR="00731ACB" w:rsidRPr="000D2DB7" w:rsidTr="000D2DB7">
        <w:trPr>
          <w:trHeight w:val="282"/>
        </w:trPr>
        <w:tc>
          <w:tcPr>
            <w:tcW w:w="79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Ankara</w:t>
            </w:r>
          </w:p>
        </w:tc>
        <w:tc>
          <w:tcPr>
            <w:tcW w:w="35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w:t>
            </w:r>
          </w:p>
        </w:tc>
        <w:tc>
          <w:tcPr>
            <w:tcW w:w="554"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1083</w:t>
            </w:r>
          </w:p>
        </w:tc>
        <w:tc>
          <w:tcPr>
            <w:tcW w:w="415"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105</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76</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51</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37</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17</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4</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21</w:t>
            </w:r>
          </w:p>
        </w:tc>
        <w:tc>
          <w:tcPr>
            <w:tcW w:w="34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0,6</w:t>
            </w:r>
          </w:p>
        </w:tc>
        <w:tc>
          <w:tcPr>
            <w:tcW w:w="485"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-0,5</w:t>
            </w:r>
          </w:p>
        </w:tc>
        <w:tc>
          <w:tcPr>
            <w:tcW w:w="176" w:type="dxa"/>
            <w:vMerge/>
            <w:tcBorders>
              <w:top w:val="single" w:sz="4" w:space="0" w:color="auto"/>
              <w:left w:val="nil"/>
              <w:bottom w:val="single" w:sz="4" w:space="0" w:color="000000"/>
              <w:right w:val="nil"/>
            </w:tcBorders>
            <w:vAlign w:val="center"/>
            <w:hideMark/>
          </w:tcPr>
          <w:p w:rsidR="000D2DB7" w:rsidRPr="000D2DB7" w:rsidRDefault="000D2DB7" w:rsidP="000D2DB7">
            <w:pPr>
              <w:pStyle w:val="Tablo"/>
            </w:pPr>
          </w:p>
        </w:tc>
        <w:tc>
          <w:tcPr>
            <w:tcW w:w="423"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58</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178</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107</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106</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98</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81</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51</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32</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16</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0</w:t>
            </w:r>
          </w:p>
        </w:tc>
      </w:tr>
      <w:tr w:rsidR="00731ACB" w:rsidRPr="000D2DB7" w:rsidTr="000D2DB7">
        <w:trPr>
          <w:trHeight w:val="282"/>
        </w:trPr>
        <w:tc>
          <w:tcPr>
            <w:tcW w:w="79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İstanbul</w:t>
            </w:r>
          </w:p>
        </w:tc>
        <w:tc>
          <w:tcPr>
            <w:tcW w:w="35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w:t>
            </w:r>
          </w:p>
        </w:tc>
        <w:tc>
          <w:tcPr>
            <w:tcW w:w="554"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1007</w:t>
            </w:r>
          </w:p>
        </w:tc>
        <w:tc>
          <w:tcPr>
            <w:tcW w:w="415"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77</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54</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39</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29</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14</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5</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w:t>
            </w:r>
          </w:p>
        </w:tc>
        <w:tc>
          <w:tcPr>
            <w:tcW w:w="337"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15</w:t>
            </w:r>
          </w:p>
        </w:tc>
        <w:tc>
          <w:tcPr>
            <w:tcW w:w="346"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0,4</w:t>
            </w:r>
          </w:p>
        </w:tc>
        <w:tc>
          <w:tcPr>
            <w:tcW w:w="485"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-0,5</w:t>
            </w:r>
          </w:p>
        </w:tc>
        <w:tc>
          <w:tcPr>
            <w:tcW w:w="176" w:type="dxa"/>
            <w:vMerge/>
            <w:tcBorders>
              <w:top w:val="single" w:sz="4" w:space="0" w:color="auto"/>
              <w:left w:val="nil"/>
              <w:bottom w:val="single" w:sz="4" w:space="0" w:color="000000"/>
              <w:right w:val="nil"/>
            </w:tcBorders>
            <w:vAlign w:val="center"/>
            <w:hideMark/>
          </w:tcPr>
          <w:p w:rsidR="000D2DB7" w:rsidRPr="000D2DB7" w:rsidRDefault="000D2DB7" w:rsidP="000D2DB7">
            <w:pPr>
              <w:pStyle w:val="Tablo"/>
            </w:pPr>
          </w:p>
        </w:tc>
        <w:tc>
          <w:tcPr>
            <w:tcW w:w="423"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146</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152</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122</w:t>
            </w:r>
          </w:p>
        </w:tc>
        <w:tc>
          <w:tcPr>
            <w:tcW w:w="422"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113</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89</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27</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9</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2</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0</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0</w:t>
            </w:r>
          </w:p>
        </w:tc>
        <w:tc>
          <w:tcPr>
            <w:tcW w:w="341" w:type="dxa"/>
            <w:tcBorders>
              <w:top w:val="nil"/>
              <w:left w:val="nil"/>
              <w:bottom w:val="nil"/>
              <w:right w:val="nil"/>
            </w:tcBorders>
            <w:shd w:val="clear" w:color="000000" w:fill="EEECE1"/>
            <w:noWrap/>
            <w:vAlign w:val="bottom"/>
            <w:hideMark/>
          </w:tcPr>
          <w:p w:rsidR="000D2DB7" w:rsidRPr="000D2DB7" w:rsidRDefault="000D2DB7" w:rsidP="000D2DB7">
            <w:pPr>
              <w:pStyle w:val="Tablo"/>
            </w:pPr>
            <w:r w:rsidRPr="000D2DB7">
              <w:t>0</w:t>
            </w:r>
          </w:p>
        </w:tc>
      </w:tr>
      <w:tr w:rsidR="00731ACB" w:rsidRPr="000D2DB7" w:rsidTr="000D2DB7">
        <w:trPr>
          <w:trHeight w:val="282"/>
        </w:trPr>
        <w:tc>
          <w:tcPr>
            <w:tcW w:w="79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Kocaeli</w:t>
            </w:r>
          </w:p>
        </w:tc>
        <w:tc>
          <w:tcPr>
            <w:tcW w:w="35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w:t>
            </w:r>
          </w:p>
        </w:tc>
        <w:tc>
          <w:tcPr>
            <w:tcW w:w="554"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862</w:t>
            </w:r>
          </w:p>
        </w:tc>
        <w:tc>
          <w:tcPr>
            <w:tcW w:w="415"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183</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69</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31</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26</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7</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w:t>
            </w:r>
          </w:p>
        </w:tc>
        <w:tc>
          <w:tcPr>
            <w:tcW w:w="337"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36</w:t>
            </w:r>
          </w:p>
        </w:tc>
        <w:tc>
          <w:tcPr>
            <w:tcW w:w="346"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7,5</w:t>
            </w:r>
          </w:p>
        </w:tc>
        <w:tc>
          <w:tcPr>
            <w:tcW w:w="485"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93,1</w:t>
            </w:r>
          </w:p>
        </w:tc>
        <w:tc>
          <w:tcPr>
            <w:tcW w:w="176" w:type="dxa"/>
            <w:vMerge/>
            <w:tcBorders>
              <w:top w:val="single" w:sz="4" w:space="0" w:color="auto"/>
              <w:left w:val="nil"/>
              <w:bottom w:val="single" w:sz="4" w:space="0" w:color="000000"/>
              <w:right w:val="nil"/>
            </w:tcBorders>
            <w:vAlign w:val="center"/>
            <w:hideMark/>
          </w:tcPr>
          <w:p w:rsidR="000D2DB7" w:rsidRPr="000D2DB7" w:rsidRDefault="000D2DB7" w:rsidP="000D2DB7">
            <w:pPr>
              <w:pStyle w:val="Tablo"/>
            </w:pPr>
          </w:p>
        </w:tc>
        <w:tc>
          <w:tcPr>
            <w:tcW w:w="423"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267</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108</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42</w:t>
            </w:r>
          </w:p>
        </w:tc>
        <w:tc>
          <w:tcPr>
            <w:tcW w:w="422"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35</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24</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13</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11</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1</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3</w:t>
            </w:r>
          </w:p>
        </w:tc>
        <w:tc>
          <w:tcPr>
            <w:tcW w:w="341" w:type="dxa"/>
            <w:tcBorders>
              <w:top w:val="nil"/>
              <w:left w:val="nil"/>
              <w:bottom w:val="nil"/>
              <w:right w:val="nil"/>
            </w:tcBorders>
            <w:shd w:val="clear" w:color="000000" w:fill="FFFFFF"/>
            <w:noWrap/>
            <w:vAlign w:val="bottom"/>
            <w:hideMark/>
          </w:tcPr>
          <w:p w:rsidR="000D2DB7" w:rsidRPr="000D2DB7" w:rsidRDefault="000D2DB7" w:rsidP="000D2DB7">
            <w:pPr>
              <w:pStyle w:val="Tablo"/>
            </w:pPr>
            <w:r w:rsidRPr="000D2DB7">
              <w:t>29</w:t>
            </w:r>
          </w:p>
        </w:tc>
      </w:tr>
      <w:tr w:rsidR="00731ACB" w:rsidRPr="000D2DB7" w:rsidTr="000D2DB7">
        <w:trPr>
          <w:trHeight w:val="282"/>
        </w:trPr>
        <w:tc>
          <w:tcPr>
            <w:tcW w:w="796"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Average</w:t>
            </w:r>
          </w:p>
        </w:tc>
        <w:tc>
          <w:tcPr>
            <w:tcW w:w="356"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 </w:t>
            </w:r>
          </w:p>
        </w:tc>
        <w:tc>
          <w:tcPr>
            <w:tcW w:w="554"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1007</w:t>
            </w:r>
          </w:p>
        </w:tc>
        <w:tc>
          <w:tcPr>
            <w:tcW w:w="415"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148</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67</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41</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33</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15</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7</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w:t>
            </w:r>
          </w:p>
        </w:tc>
        <w:tc>
          <w:tcPr>
            <w:tcW w:w="337"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24</w:t>
            </w:r>
          </w:p>
        </w:tc>
        <w:tc>
          <w:tcPr>
            <w:tcW w:w="346"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2,9</w:t>
            </w:r>
          </w:p>
        </w:tc>
        <w:tc>
          <w:tcPr>
            <w:tcW w:w="485"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26,8</w:t>
            </w:r>
          </w:p>
        </w:tc>
        <w:tc>
          <w:tcPr>
            <w:tcW w:w="176" w:type="dxa"/>
            <w:vMerge/>
            <w:tcBorders>
              <w:top w:val="single" w:sz="4" w:space="0" w:color="auto"/>
              <w:left w:val="nil"/>
              <w:bottom w:val="single" w:sz="4" w:space="0" w:color="000000"/>
              <w:right w:val="nil"/>
            </w:tcBorders>
            <w:vAlign w:val="center"/>
            <w:hideMark/>
          </w:tcPr>
          <w:p w:rsidR="000D2DB7" w:rsidRPr="006C09F8" w:rsidRDefault="000D2DB7" w:rsidP="000D2DB7">
            <w:pPr>
              <w:pStyle w:val="Tablo"/>
              <w:rPr>
                <w:b/>
              </w:rPr>
            </w:pPr>
          </w:p>
        </w:tc>
        <w:tc>
          <w:tcPr>
            <w:tcW w:w="423"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130</w:t>
            </w:r>
          </w:p>
        </w:tc>
        <w:tc>
          <w:tcPr>
            <w:tcW w:w="422"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148</w:t>
            </w:r>
          </w:p>
        </w:tc>
        <w:tc>
          <w:tcPr>
            <w:tcW w:w="422"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112</w:t>
            </w:r>
          </w:p>
        </w:tc>
        <w:tc>
          <w:tcPr>
            <w:tcW w:w="422"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105</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75</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45</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22</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10</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5</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2</w:t>
            </w:r>
          </w:p>
        </w:tc>
        <w:tc>
          <w:tcPr>
            <w:tcW w:w="341" w:type="dxa"/>
            <w:tcBorders>
              <w:top w:val="nil"/>
              <w:left w:val="nil"/>
              <w:bottom w:val="single" w:sz="4" w:space="0" w:color="auto"/>
              <w:right w:val="nil"/>
            </w:tcBorders>
            <w:shd w:val="clear" w:color="000000" w:fill="EEECE1"/>
            <w:noWrap/>
            <w:vAlign w:val="bottom"/>
            <w:hideMark/>
          </w:tcPr>
          <w:p w:rsidR="000D2DB7" w:rsidRPr="006C09F8" w:rsidRDefault="000D2DB7" w:rsidP="000D2DB7">
            <w:pPr>
              <w:pStyle w:val="Tablo"/>
              <w:rPr>
                <w:b/>
              </w:rPr>
            </w:pPr>
            <w:r w:rsidRPr="006C09F8">
              <w:rPr>
                <w:b/>
              </w:rPr>
              <w:t>9</w:t>
            </w:r>
          </w:p>
        </w:tc>
      </w:tr>
    </w:tbl>
    <w:p w:rsidR="00E755B2" w:rsidRPr="00B86ACD" w:rsidRDefault="00E755B2" w:rsidP="00BE34EF">
      <w:pPr>
        <w:spacing w:after="0" w:line="240" w:lineRule="auto"/>
        <w:jc w:val="both"/>
        <w:rPr>
          <w:rFonts w:ascii="Times New Roman" w:hAnsi="Times New Roman" w:cs="Times New Roman"/>
          <w:sz w:val="20"/>
          <w:szCs w:val="20"/>
          <w:lang w:val="en-US"/>
        </w:rPr>
      </w:pPr>
    </w:p>
    <w:p w:rsidR="000D2DB7" w:rsidRDefault="000D2DB7" w:rsidP="00BE34EF">
      <w:pPr>
        <w:spacing w:after="0" w:line="240" w:lineRule="auto"/>
        <w:jc w:val="both"/>
        <w:rPr>
          <w:rFonts w:ascii="Times New Roman" w:hAnsi="Times New Roman" w:cs="Times New Roman"/>
          <w:b/>
          <w:sz w:val="20"/>
          <w:szCs w:val="20"/>
          <w:lang w:val="en-US"/>
        </w:rPr>
        <w:sectPr w:rsidR="000D2DB7" w:rsidSect="00731ACB">
          <w:type w:val="continuous"/>
          <w:pgSz w:w="11906" w:h="16838" w:code="9"/>
          <w:pgMar w:top="851" w:right="851" w:bottom="851" w:left="851" w:header="454" w:footer="454" w:gutter="0"/>
          <w:cols w:space="340"/>
          <w:titlePg/>
          <w:docGrid w:linePitch="360" w:charSpace="-2458"/>
        </w:sectPr>
      </w:pPr>
    </w:p>
    <w:p w:rsidR="00431540" w:rsidRPr="00B86ACD" w:rsidRDefault="006C09F8" w:rsidP="00BE34EF">
      <w:pPr>
        <w:spacing w:after="0" w:line="240" w:lineRule="auto"/>
        <w:jc w:val="both"/>
        <w:rPr>
          <w:rFonts w:ascii="Times New Roman" w:hAnsi="Times New Roman" w:cs="Times New Roman"/>
          <w:b/>
          <w:sz w:val="20"/>
          <w:szCs w:val="20"/>
          <w:lang w:val="en-US"/>
        </w:rPr>
      </w:pPr>
      <w:r>
        <w:rPr>
          <w:rFonts w:ascii="Times New Roman" w:hAnsi="Times New Roman" w:cs="Times New Roman"/>
          <w:b/>
          <w:noProof/>
          <w:sz w:val="20"/>
          <w:szCs w:val="20"/>
          <w:lang w:eastAsia="tr-TR"/>
        </w:rPr>
        <w:drawing>
          <wp:inline distT="0" distB="0" distL="0" distR="0" wp14:anchorId="33FE0C4F">
            <wp:extent cx="3240000" cy="216000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p w:rsidR="00E755B2" w:rsidRPr="00F347FC" w:rsidRDefault="00085C9E" w:rsidP="00085C9E">
      <w:pPr>
        <w:pStyle w:val="ResimYazs"/>
        <w:rPr>
          <w:rFonts w:cs="Times New Roman"/>
          <w:szCs w:val="20"/>
          <w:lang w:val="en-GB"/>
        </w:rPr>
      </w:pPr>
      <w:r w:rsidRPr="00F347FC">
        <w:rPr>
          <w:lang w:val="en-GB"/>
        </w:rPr>
        <w:t xml:space="preserve">Figure </w:t>
      </w:r>
      <w:r w:rsidRPr="00F347FC">
        <w:rPr>
          <w:lang w:val="en-GB"/>
        </w:rPr>
        <w:fldChar w:fldCharType="begin"/>
      </w:r>
      <w:r w:rsidRPr="00F347FC">
        <w:rPr>
          <w:lang w:val="en-GB"/>
        </w:rPr>
        <w:instrText xml:space="preserve"> SEQ Figure \* ARABIC </w:instrText>
      </w:r>
      <w:r w:rsidRPr="00F347FC">
        <w:rPr>
          <w:lang w:val="en-GB"/>
        </w:rPr>
        <w:fldChar w:fldCharType="separate"/>
      </w:r>
      <w:r w:rsidR="00DC4EA5">
        <w:rPr>
          <w:noProof/>
          <w:lang w:val="en-GB"/>
        </w:rPr>
        <w:t>6</w:t>
      </w:r>
      <w:r w:rsidRPr="00F347FC">
        <w:rPr>
          <w:lang w:val="en-GB"/>
        </w:rPr>
        <w:fldChar w:fldCharType="end"/>
      </w:r>
      <w:r w:rsidRPr="00F347FC">
        <w:rPr>
          <w:lang w:val="en-GB"/>
        </w:rPr>
        <w:t>. Descriptive statistical values (left panel) and frequency histogram of average value of O</w:t>
      </w:r>
      <w:r w:rsidRPr="00F347FC">
        <w:rPr>
          <w:vertAlign w:val="subscript"/>
          <w:lang w:val="en-GB"/>
        </w:rPr>
        <w:t>3</w:t>
      </w:r>
      <w:r w:rsidRPr="00F347FC">
        <w:rPr>
          <w:lang w:val="en-GB"/>
        </w:rPr>
        <w:t xml:space="preserve"> data (right panel) for 10 air quality stations from four metropolitan areas in Turkey.</w:t>
      </w:r>
    </w:p>
    <w:p w:rsidR="0056132B" w:rsidRPr="00B86ACD" w:rsidRDefault="00E755B2" w:rsidP="0056132B">
      <w:pPr>
        <w:pStyle w:val="metin"/>
        <w:spacing w:before="240"/>
        <w:ind w:firstLine="346"/>
      </w:pPr>
      <w:r w:rsidRPr="00B86ACD">
        <w:t>The daily maximum O</w:t>
      </w:r>
      <w:r w:rsidRPr="00B86ACD">
        <w:rPr>
          <w:vertAlign w:val="subscript"/>
        </w:rPr>
        <w:t>3</w:t>
      </w:r>
      <w:r w:rsidRPr="00B86ACD">
        <w:t xml:space="preserve"> concentration</w:t>
      </w:r>
      <w:r w:rsidR="00544408" w:rsidRPr="00B86ACD">
        <w:t>s range</w:t>
      </w:r>
      <w:r w:rsidRPr="00B86ACD">
        <w:t xml:space="preserve"> between 228 µgm</w:t>
      </w:r>
      <w:r w:rsidRPr="00B86ACD">
        <w:rPr>
          <w:vertAlign w:val="superscript"/>
        </w:rPr>
        <w:t>-3</w:t>
      </w:r>
      <w:r w:rsidRPr="00B86ACD">
        <w:t xml:space="preserve"> in Adana and 77 µgm</w:t>
      </w:r>
      <w:r w:rsidRPr="00B86ACD">
        <w:rPr>
          <w:vertAlign w:val="superscript"/>
        </w:rPr>
        <w:t>-3</w:t>
      </w:r>
      <w:r w:rsidRPr="00B86ACD">
        <w:t xml:space="preserve"> in İstanbul. The average daily maximum value among all 10 stations is 148 µgm</w:t>
      </w:r>
      <w:r w:rsidRPr="00B86ACD">
        <w:rPr>
          <w:vertAlign w:val="superscript"/>
        </w:rPr>
        <w:t>-3</w:t>
      </w:r>
      <w:r w:rsidRPr="00B86ACD">
        <w:t xml:space="preserve"> and it decreases to 67 µgm</w:t>
      </w:r>
      <w:r w:rsidRPr="00B86ACD">
        <w:rPr>
          <w:vertAlign w:val="superscript"/>
        </w:rPr>
        <w:t>-3</w:t>
      </w:r>
      <w:r w:rsidRPr="00B86ACD">
        <w:t xml:space="preserve"> at 95% percentile, 41 µgm</w:t>
      </w:r>
      <w:r w:rsidRPr="00B86ACD">
        <w:rPr>
          <w:vertAlign w:val="superscript"/>
        </w:rPr>
        <w:t>-3</w:t>
      </w:r>
      <w:r w:rsidRPr="00B86ACD">
        <w:t xml:space="preserve"> at 75%, and 33 µgm</w:t>
      </w:r>
      <w:r w:rsidRPr="00B86ACD">
        <w:rPr>
          <w:vertAlign w:val="superscript"/>
        </w:rPr>
        <w:t>-3</w:t>
      </w:r>
      <w:r w:rsidRPr="00B86ACD">
        <w:t xml:space="preserve"> at 50%, 15 µgm</w:t>
      </w:r>
      <w:r w:rsidRPr="00B86ACD">
        <w:rPr>
          <w:vertAlign w:val="superscript"/>
        </w:rPr>
        <w:t>-3</w:t>
      </w:r>
      <w:r w:rsidRPr="00B86ACD">
        <w:t xml:space="preserve"> at 25%, 7 µgm</w:t>
      </w:r>
      <w:r w:rsidRPr="00B86ACD">
        <w:rPr>
          <w:vertAlign w:val="superscript"/>
        </w:rPr>
        <w:t>-3</w:t>
      </w:r>
      <w:r w:rsidRPr="00B86ACD">
        <w:t xml:space="preserve"> at 5% and 2 µgm</w:t>
      </w:r>
      <w:r w:rsidRPr="00B86ACD">
        <w:rPr>
          <w:vertAlign w:val="superscript"/>
        </w:rPr>
        <w:t>-3</w:t>
      </w:r>
      <w:r w:rsidRPr="00B86ACD">
        <w:t xml:space="preserve"> as the</w:t>
      </w:r>
      <w:r w:rsidR="00544408" w:rsidRPr="00B86ACD">
        <w:t xml:space="preserve"> minimum. Standard deviation </w:t>
      </w:r>
      <w:r w:rsidRPr="00B86ACD">
        <w:t>change between 15 µgm</w:t>
      </w:r>
      <w:r w:rsidRPr="00B86ACD">
        <w:rPr>
          <w:vertAlign w:val="superscript"/>
        </w:rPr>
        <w:t>-3</w:t>
      </w:r>
      <w:r w:rsidRPr="00B86ACD">
        <w:t xml:space="preserve"> in İstanbul and 36 µgm</w:t>
      </w:r>
      <w:r w:rsidRPr="00B86ACD">
        <w:rPr>
          <w:vertAlign w:val="superscript"/>
        </w:rPr>
        <w:t>-3</w:t>
      </w:r>
      <w:r w:rsidRPr="00B86ACD">
        <w:t xml:space="preserve"> in Kocaeli with</w:t>
      </w:r>
      <w:r w:rsidR="00544408" w:rsidRPr="00B86ACD">
        <w:t xml:space="preserve"> an</w:t>
      </w:r>
      <w:r w:rsidRPr="00B86ACD">
        <w:t xml:space="preserve"> average of 24 µgm</w:t>
      </w:r>
      <w:r w:rsidRPr="00B86ACD">
        <w:rPr>
          <w:vertAlign w:val="superscript"/>
        </w:rPr>
        <w:t xml:space="preserve">-3 </w:t>
      </w:r>
      <w:r w:rsidRPr="00B86ACD">
        <w:t>for all stations</w:t>
      </w:r>
      <w:r w:rsidR="00A45835" w:rsidRPr="00B86ACD">
        <w:t>.</w:t>
      </w:r>
      <w:r w:rsidR="00ED1490" w:rsidRPr="00B86ACD">
        <w:t xml:space="preserve"> </w:t>
      </w:r>
      <w:r w:rsidRPr="00B86ACD">
        <w:t>The highest and lowest skewness values are 7.5 µgm</w:t>
      </w:r>
      <w:r w:rsidRPr="00B86ACD">
        <w:rPr>
          <w:vertAlign w:val="superscript"/>
        </w:rPr>
        <w:t>-3</w:t>
      </w:r>
      <w:r w:rsidRPr="00B86ACD">
        <w:t xml:space="preserve"> and 0.4 µgm</w:t>
      </w:r>
      <w:r w:rsidRPr="00B86ACD">
        <w:rPr>
          <w:vertAlign w:val="superscript"/>
        </w:rPr>
        <w:t>-3</w:t>
      </w:r>
      <w:r w:rsidRPr="00B86ACD">
        <w:t xml:space="preserve"> at Kocaeli and İstanbul, respectively, with averages of 2.9 µgm</w:t>
      </w:r>
      <w:r w:rsidRPr="00B86ACD">
        <w:rPr>
          <w:vertAlign w:val="superscript"/>
        </w:rPr>
        <w:t>-3</w:t>
      </w:r>
      <w:r w:rsidRPr="00B86ACD">
        <w:t>. The kurtosis value is 93.1 µgm</w:t>
      </w:r>
      <w:r w:rsidRPr="00B86ACD">
        <w:rPr>
          <w:vertAlign w:val="superscript"/>
        </w:rPr>
        <w:t>-3</w:t>
      </w:r>
      <w:r w:rsidRPr="00B86ACD">
        <w:t xml:space="preserve"> in Adana and -0.5 µgm</w:t>
      </w:r>
      <w:r w:rsidRPr="00B86ACD">
        <w:rPr>
          <w:vertAlign w:val="superscript"/>
        </w:rPr>
        <w:t>-3</w:t>
      </w:r>
      <w:r w:rsidRPr="00B86ACD">
        <w:t xml:space="preserve"> in Ankara and İstanbul. The frequency distribution of O</w:t>
      </w:r>
      <w:r w:rsidRPr="00B86ACD">
        <w:rPr>
          <w:vertAlign w:val="subscript"/>
        </w:rPr>
        <w:t>3</w:t>
      </w:r>
      <w:r w:rsidRPr="00B86ACD">
        <w:t xml:space="preserve"> concentration is given in the same table at intervals of 10 µgm</w:t>
      </w:r>
      <w:r w:rsidRPr="00B86ACD">
        <w:rPr>
          <w:vertAlign w:val="superscript"/>
        </w:rPr>
        <w:t>-3</w:t>
      </w:r>
      <w:r w:rsidRPr="00B86ACD">
        <w:t>. A peak in the distribution of daily O</w:t>
      </w:r>
      <w:r w:rsidRPr="00B86ACD">
        <w:rPr>
          <w:vertAlign w:val="subscript"/>
        </w:rPr>
        <w:t>3</w:t>
      </w:r>
      <w:r w:rsidRPr="00B86ACD">
        <w:t xml:space="preserve"> concentration occurs most frequently at 22% percentile within 10–20 µgm</w:t>
      </w:r>
      <w:r w:rsidRPr="00B86ACD">
        <w:rPr>
          <w:vertAlign w:val="superscript"/>
        </w:rPr>
        <w:t>-3</w:t>
      </w:r>
      <w:r w:rsidRPr="00B86ACD">
        <w:t xml:space="preserve"> range and another one at 20%, within 0–10 µgm</w:t>
      </w:r>
      <w:r w:rsidRPr="00B86ACD">
        <w:rPr>
          <w:vertAlign w:val="superscript"/>
        </w:rPr>
        <w:t>-3</w:t>
      </w:r>
      <w:r w:rsidRPr="00B86ACD">
        <w:t xml:space="preserve"> range, at 17% in 20–30 µgm</w:t>
      </w:r>
      <w:r w:rsidRPr="00B86ACD">
        <w:rPr>
          <w:vertAlign w:val="superscript"/>
        </w:rPr>
        <w:t>-3</w:t>
      </w:r>
      <w:r w:rsidRPr="00B86ACD">
        <w:t xml:space="preserve"> and at 75% O</w:t>
      </w:r>
      <w:r w:rsidRPr="00B86ACD">
        <w:rPr>
          <w:vertAlign w:val="subscript"/>
        </w:rPr>
        <w:t>3</w:t>
      </w:r>
      <w:r w:rsidRPr="00B86ACD">
        <w:t xml:space="preserve"> concentration is less than 40 µgm</w:t>
      </w:r>
      <w:r w:rsidRPr="00B86ACD">
        <w:rPr>
          <w:vertAlign w:val="superscript"/>
        </w:rPr>
        <w:t>-3</w:t>
      </w:r>
      <w:r w:rsidRPr="00B86ACD">
        <w:t xml:space="preserve">. </w:t>
      </w:r>
    </w:p>
    <w:p w:rsidR="00E755B2" w:rsidRPr="00B86ACD" w:rsidRDefault="00E755B2" w:rsidP="00BE34EF">
      <w:pPr>
        <w:pStyle w:val="Basliklar"/>
      </w:pPr>
      <w:r w:rsidRPr="00B86ACD">
        <w:t>4. Conclusions and recommendations</w:t>
      </w:r>
    </w:p>
    <w:p w:rsidR="00740BA1" w:rsidRPr="00B86ACD" w:rsidRDefault="00037330" w:rsidP="00740BA1">
      <w:pPr>
        <w:pStyle w:val="metin"/>
        <w:ind w:firstLine="346"/>
      </w:pPr>
      <w:r w:rsidRPr="00B86ACD">
        <w:t>Improving a</w:t>
      </w:r>
      <w:r w:rsidR="00E755B2" w:rsidRPr="00B86ACD">
        <w:t xml:space="preserve">ir </w:t>
      </w:r>
      <w:r w:rsidR="002F24E3" w:rsidRPr="00B86ACD">
        <w:t>quality</w:t>
      </w:r>
      <w:r w:rsidR="00E755B2" w:rsidRPr="00B86ACD">
        <w:t xml:space="preserve"> requires a great deal of effort such as knowing the</w:t>
      </w:r>
      <w:r w:rsidR="008B292F" w:rsidRPr="00B86ACD">
        <w:t xml:space="preserve"> air pollution</w:t>
      </w:r>
      <w:r w:rsidR="00E755B2" w:rsidRPr="00B86ACD">
        <w:t xml:space="preserve"> levels and modeling.</w:t>
      </w:r>
      <w:r w:rsidR="00756C73" w:rsidRPr="00B86ACD">
        <w:t xml:space="preserve"> Studies investigating</w:t>
      </w:r>
      <w:r w:rsidR="00E755B2" w:rsidRPr="00B86ACD">
        <w:t xml:space="preserve"> background</w:t>
      </w:r>
      <w:r w:rsidR="00756C73" w:rsidRPr="00B86ACD">
        <w:t xml:space="preserve"> air</w:t>
      </w:r>
      <w:r w:rsidR="002F24E3" w:rsidRPr="00B86ACD">
        <w:t xml:space="preserve"> pollution</w:t>
      </w:r>
      <w:r w:rsidR="00756C73" w:rsidRPr="00B86ACD">
        <w:t xml:space="preserve"> level of cities</w:t>
      </w:r>
      <w:r w:rsidR="00E755B2" w:rsidRPr="00B86ACD">
        <w:t xml:space="preserve"> also will help</w:t>
      </w:r>
      <w:r w:rsidR="00756C73" w:rsidRPr="00B86ACD">
        <w:t xml:space="preserve"> for</w:t>
      </w:r>
      <w:r w:rsidR="00E755B2" w:rsidRPr="00B86ACD">
        <w:t xml:space="preserve"> offer</w:t>
      </w:r>
      <w:r w:rsidR="002F24E3" w:rsidRPr="00B86ACD">
        <w:t>ing</w:t>
      </w:r>
      <w:r w:rsidR="00E755B2" w:rsidRPr="00B86ACD">
        <w:t xml:space="preserve"> solutions to environmental pollution problems. This study provides an assessment of the air quality level</w:t>
      </w:r>
      <w:r w:rsidR="008B292F" w:rsidRPr="00B86ACD">
        <w:t>s</w:t>
      </w:r>
      <w:r w:rsidR="00E755B2" w:rsidRPr="00B86ACD">
        <w:t xml:space="preserve"> for the principal cities in Turkey. The statistical analyses of PM10, SO</w:t>
      </w:r>
      <w:r w:rsidR="00E755B2" w:rsidRPr="00B86ACD">
        <w:rPr>
          <w:vertAlign w:val="subscript"/>
        </w:rPr>
        <w:t>2</w:t>
      </w:r>
      <w:r w:rsidR="00E755B2" w:rsidRPr="00B86ACD">
        <w:t>, NO</w:t>
      </w:r>
      <w:r w:rsidR="00E755B2" w:rsidRPr="00B86ACD">
        <w:rPr>
          <w:vertAlign w:val="subscript"/>
        </w:rPr>
        <w:t>2</w:t>
      </w:r>
      <w:r w:rsidR="00E755B2" w:rsidRPr="00B86ACD">
        <w:t xml:space="preserve"> and O</w:t>
      </w:r>
      <w:r w:rsidR="00E755B2" w:rsidRPr="00B86ACD">
        <w:rPr>
          <w:vertAlign w:val="subscript"/>
        </w:rPr>
        <w:t>3</w:t>
      </w:r>
      <w:r w:rsidR="00E755B2" w:rsidRPr="00B86ACD">
        <w:t xml:space="preserve"> data cover the three year period</w:t>
      </w:r>
      <w:r w:rsidR="002F24E3" w:rsidRPr="00B86ACD">
        <w:t xml:space="preserve"> of</w:t>
      </w:r>
      <w:r w:rsidR="00E755B2" w:rsidRPr="00B86ACD">
        <w:t xml:space="preserve"> 2010-2012 </w:t>
      </w:r>
    </w:p>
    <w:p w:rsidR="00756C73" w:rsidRPr="00B86ACD" w:rsidRDefault="002F24E3" w:rsidP="00740BA1">
      <w:pPr>
        <w:pStyle w:val="metin"/>
        <w:spacing w:before="240"/>
        <w:ind w:firstLine="0"/>
      </w:pPr>
      <w:r w:rsidRPr="00B86ACD">
        <w:t>including</w:t>
      </w:r>
      <w:r w:rsidR="00E755B2" w:rsidRPr="00B86ACD">
        <w:t xml:space="preserve"> 16 metropolitan areas in Turkey. The results show that the concentration levels of PM10, NO</w:t>
      </w:r>
      <w:r w:rsidR="00E755B2" w:rsidRPr="00B86ACD">
        <w:rPr>
          <w:vertAlign w:val="subscript"/>
        </w:rPr>
        <w:t>2</w:t>
      </w:r>
      <w:r w:rsidR="00E755B2" w:rsidRPr="00B86ACD">
        <w:t xml:space="preserve"> and O</w:t>
      </w:r>
      <w:r w:rsidR="00E755B2" w:rsidRPr="00B86ACD">
        <w:rPr>
          <w:vertAlign w:val="subscript"/>
        </w:rPr>
        <w:t>3</w:t>
      </w:r>
      <w:r w:rsidR="00E755B2" w:rsidRPr="00B86ACD">
        <w:t xml:space="preserve"> in the air do not comply with the EU standards for good health in most of the metropolitan areas, but most cities </w:t>
      </w:r>
      <w:r w:rsidR="008B292F" w:rsidRPr="00B86ACD">
        <w:t>could be</w:t>
      </w:r>
      <w:r w:rsidR="00E755B2" w:rsidRPr="00B86ACD">
        <w:t xml:space="preserve"> regarded</w:t>
      </w:r>
      <w:r w:rsidR="00756C73" w:rsidRPr="00B86ACD">
        <w:t xml:space="preserve"> as</w:t>
      </w:r>
      <w:r w:rsidR="00E755B2" w:rsidRPr="00B86ACD">
        <w:t xml:space="preserve"> clean in relation to SO</w:t>
      </w:r>
      <w:r w:rsidR="00E755B2" w:rsidRPr="00B86ACD">
        <w:rPr>
          <w:vertAlign w:val="subscript"/>
        </w:rPr>
        <w:t>2</w:t>
      </w:r>
      <w:r w:rsidR="00E755B2" w:rsidRPr="00B86ACD">
        <w:t xml:space="preserve"> concentrations compared with the EU standards. </w:t>
      </w:r>
    </w:p>
    <w:p w:rsidR="00E755B2" w:rsidRPr="00B86ACD" w:rsidRDefault="00756C73" w:rsidP="00756C73">
      <w:pPr>
        <w:pStyle w:val="metin"/>
      </w:pPr>
      <w:r w:rsidRPr="00B86ACD">
        <w:t>In conclusion, o</w:t>
      </w:r>
      <w:r w:rsidR="002F24E3" w:rsidRPr="00B86ACD">
        <w:t>bserving</w:t>
      </w:r>
      <w:r w:rsidR="00E755B2" w:rsidRPr="00B86ACD">
        <w:t xml:space="preserve"> pollution</w:t>
      </w:r>
      <w:r w:rsidR="002F24E3" w:rsidRPr="00B86ACD">
        <w:t xml:space="preserve"> levels</w:t>
      </w:r>
      <w:r w:rsidR="00E755B2" w:rsidRPr="00B86ACD">
        <w:t xml:space="preserve"> in urban areas offer possible opportunities to manage their sources in a sustainable way, which is required for improv</w:t>
      </w:r>
      <w:r w:rsidR="00C91C5D" w:rsidRPr="00B86ACD">
        <w:t>ing</w:t>
      </w:r>
      <w:r w:rsidR="00E755B2" w:rsidRPr="00B86ACD">
        <w:t xml:space="preserve"> urban air quality. </w:t>
      </w:r>
      <w:r w:rsidR="00C91C5D" w:rsidRPr="00B86ACD">
        <w:t>T</w:t>
      </w:r>
      <w:r w:rsidR="00E755B2" w:rsidRPr="00B86ACD">
        <w:t>he air quality can be improved by controlling all the major sources including; residential, transportation, commercial</w:t>
      </w:r>
      <w:r w:rsidR="00C91C5D" w:rsidRPr="00B86ACD">
        <w:t xml:space="preserve"> and</w:t>
      </w:r>
      <w:r w:rsidR="00E755B2" w:rsidRPr="00B86ACD">
        <w:t xml:space="preserve"> industrial and</w:t>
      </w:r>
      <w:r w:rsidR="00C91C5D" w:rsidRPr="00B86ACD">
        <w:t xml:space="preserve"> by planning the future </w:t>
      </w:r>
      <w:r w:rsidR="00E755B2" w:rsidRPr="00B86ACD">
        <w:t>of new urbanization areas. One can hope that the summary of the status of air pollution in</w:t>
      </w:r>
      <w:r w:rsidRPr="00B86ACD">
        <w:t xml:space="preserve"> princip</w:t>
      </w:r>
      <w:r w:rsidR="00C031D8">
        <w:t>a</w:t>
      </w:r>
      <w:r w:rsidRPr="00B86ACD">
        <w:t>l</w:t>
      </w:r>
      <w:r w:rsidR="00E755B2" w:rsidRPr="00B86ACD">
        <w:t xml:space="preserve"> cities</w:t>
      </w:r>
      <w:r w:rsidRPr="00B86ACD">
        <w:t xml:space="preserve"> of Turkey</w:t>
      </w:r>
      <w:r w:rsidR="00E755B2" w:rsidRPr="00B86ACD">
        <w:t xml:space="preserve"> will lead to a greater understanding of ambient air quality and the importance of preventing, or reducing its harmful effects on human health and the ecosystem.</w:t>
      </w:r>
      <w:r w:rsidR="0012603E" w:rsidRPr="00B86ACD">
        <w:t xml:space="preserve"> In order to better address the question of air quality in any society, schools and media outlets must be active in providing educational information for public awareness. </w:t>
      </w:r>
      <w:r w:rsidR="00E755B2" w:rsidRPr="00B86ACD">
        <w:t xml:space="preserve"> As a result, </w:t>
      </w:r>
      <w:r w:rsidR="00512B3F" w:rsidRPr="00B86ACD">
        <w:t>t</w:t>
      </w:r>
      <w:r w:rsidRPr="00B86ACD">
        <w:t>o</w:t>
      </w:r>
      <w:r w:rsidR="00E755B2" w:rsidRPr="00B86ACD">
        <w:t xml:space="preserve"> increase air quality and sustainable living, there’s need for the use of land planning with</w:t>
      </w:r>
      <w:r w:rsidR="00512B3F" w:rsidRPr="00B86ACD">
        <w:t xml:space="preserve"> an</w:t>
      </w:r>
      <w:r w:rsidR="00E755B2" w:rsidRPr="00B86ACD">
        <w:t xml:space="preserve"> air quality perspective and </w:t>
      </w:r>
      <w:r w:rsidRPr="00B86ACD">
        <w:t>making</w:t>
      </w:r>
      <w:r w:rsidR="00E755B2" w:rsidRPr="00B86ACD">
        <w:t xml:space="preserve"> some strategies</w:t>
      </w:r>
      <w:r w:rsidR="00E755B2" w:rsidRPr="00B86ACD">
        <w:rPr>
          <w:strike/>
        </w:rPr>
        <w:t xml:space="preserve"> </w:t>
      </w:r>
      <w:r w:rsidR="00E755B2" w:rsidRPr="00B86ACD">
        <w:t>such as</w:t>
      </w:r>
      <w:r w:rsidR="00512B3F" w:rsidRPr="00B86ACD">
        <w:t xml:space="preserve"> encouraging houses and</w:t>
      </w:r>
      <w:r w:rsidR="00E755B2" w:rsidRPr="00B86ACD">
        <w:t xml:space="preserve"> businesses to be close to the urban areas.</w:t>
      </w:r>
      <w:r w:rsidR="00ED1490" w:rsidRPr="00B86ACD">
        <w:t xml:space="preserve"> </w:t>
      </w:r>
    </w:p>
    <w:p w:rsidR="00E755B2" w:rsidRPr="00B86ACD" w:rsidRDefault="00E755B2" w:rsidP="00BE34EF">
      <w:pPr>
        <w:pStyle w:val="Basliklar"/>
      </w:pPr>
      <w:r w:rsidRPr="00B86ACD">
        <w:t xml:space="preserve">Acknowledgements </w:t>
      </w:r>
    </w:p>
    <w:p w:rsidR="00E755B2" w:rsidRPr="00B86ACD" w:rsidRDefault="00E755B2" w:rsidP="00AA7329">
      <w:pPr>
        <w:pStyle w:val="metin"/>
        <w:rPr>
          <w:b/>
        </w:rPr>
      </w:pPr>
      <w:r w:rsidRPr="00B86ACD">
        <w:t>The authors are grateful to Ministry of Environment and Urbanism of Turkey for the air quality data. This study is a background of the online integrated air quality and meteorology modeling project funding by the TUBITAK</w:t>
      </w:r>
      <w:r w:rsidR="009B5BEC">
        <w:t xml:space="preserve"> (</w:t>
      </w:r>
      <w:r w:rsidR="009B5BEC" w:rsidRPr="00B86ACD">
        <w:t>Project No: 111Y319</w:t>
      </w:r>
      <w:r w:rsidR="009B5BEC">
        <w:t>)</w:t>
      </w:r>
      <w:r w:rsidRPr="00B86ACD">
        <w:t xml:space="preserve"> and COST Action ES1004.</w:t>
      </w:r>
    </w:p>
    <w:p w:rsidR="00E755B2" w:rsidRPr="00B86ACD" w:rsidRDefault="00E755B2" w:rsidP="00BE34EF">
      <w:pPr>
        <w:pStyle w:val="Basliklar"/>
      </w:pPr>
      <w:r w:rsidRPr="00B86ACD">
        <w:t>References</w:t>
      </w:r>
    </w:p>
    <w:p w:rsidR="00E755B2" w:rsidRPr="00B86ACD" w:rsidRDefault="007A7345" w:rsidP="007A7345">
      <w:pPr>
        <w:pStyle w:val="Kaynaklar"/>
        <w:rPr>
          <w:b/>
          <w:sz w:val="24"/>
          <w:szCs w:val="24"/>
        </w:rPr>
      </w:pPr>
      <w:hyperlink r:id="rId22" w:history="1">
        <w:r w:rsidRPr="006F7484">
          <w:rPr>
            <w:rStyle w:val="Kpr"/>
          </w:rPr>
          <w:t>https://pitt.libguides.com/citationhelp/apa7</w:t>
        </w:r>
      </w:hyperlink>
      <w:r>
        <w:t xml:space="preserve"> </w:t>
      </w:r>
      <w:bookmarkStart w:id="0" w:name="_GoBack"/>
      <w:bookmarkEnd w:id="0"/>
    </w:p>
    <w:sectPr w:rsidR="00E755B2" w:rsidRPr="00B86ACD" w:rsidSect="00731ACB">
      <w:type w:val="continuous"/>
      <w:pgSz w:w="11906" w:h="16838" w:code="9"/>
      <w:pgMar w:top="851" w:right="851" w:bottom="851" w:left="851" w:header="454" w:footer="454" w:gutter="0"/>
      <w:cols w:num="2" w:space="340"/>
      <w:titlePg/>
      <w:docGrid w:linePitch="360" w:charSpace="-245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02E" w:rsidRDefault="0070202E">
      <w:pPr>
        <w:spacing w:after="0" w:line="240" w:lineRule="auto"/>
      </w:pPr>
      <w:r>
        <w:separator/>
      </w:r>
    </w:p>
  </w:endnote>
  <w:endnote w:type="continuationSeparator" w:id="0">
    <w:p w:rsidR="0070202E" w:rsidRDefault="0070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Droid Sans">
    <w:altName w:val="Times New Roman"/>
    <w:charset w:val="00"/>
    <w:family w:val="roman"/>
    <w:pitch w:val="default"/>
  </w:font>
  <w:font w:name="font298">
    <w:altName w:val="MS Gothic"/>
    <w:charset w:val="80"/>
    <w:family w:val="auto"/>
    <w:pitch w:val="variable"/>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Liberation Sans">
    <w:altName w:val="Times New Roman"/>
    <w:charset w:val="A2"/>
    <w:family w:val="swiss"/>
    <w:pitch w:val="variable"/>
    <w:sig w:usb0="E0000AFF" w:usb1="500078FF" w:usb2="00000021" w:usb3="00000000" w:csb0="000001BF" w:csb1="00000000"/>
  </w:font>
  <w:font w:name="DejaVu Sans">
    <w:charset w:val="A2"/>
    <w:family w:val="swiss"/>
    <w:pitch w:val="variable"/>
    <w:sig w:usb0="00000000" w:usb1="D200FDFF" w:usb2="0A246029" w:usb3="00000000" w:csb0="000001FF" w:csb1="00000000"/>
  </w:font>
  <w:font w:name="Lohit Hindi">
    <w:altName w:val="MS Gothic"/>
    <w:charset w:val="80"/>
    <w:family w:val="auto"/>
    <w:pitch w:val="default"/>
  </w:font>
  <w:font w:name="Arial">
    <w:altName w:val="Arial"/>
    <w:panose1 w:val="020B0604020202020204"/>
    <w:charset w:val="A2"/>
    <w:family w:val="swiss"/>
    <w:pitch w:val="variable"/>
    <w:sig w:usb0="E0002EFF" w:usb1="C000785B" w:usb2="00000009" w:usb3="00000000" w:csb0="000001FF" w:csb1="00000000"/>
  </w:font>
  <w:font w:name="Liberation Serif">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3B3771" w:rsidRDefault="0070202E" w:rsidP="003B3771">
    <w:pPr>
      <w:pStyle w:val="AltBilgi"/>
      <w:spacing w:after="0" w:line="240" w:lineRule="auto"/>
      <w:jc w:val="both"/>
      <w:rPr>
        <w:rFonts w:ascii="Times New Roman" w:hAnsi="Times New Roman" w:cs="Times New Roman"/>
      </w:rPr>
    </w:pPr>
    <w:hyperlink r:id="rId1" w:history="1">
      <w:r w:rsidR="00731ACB" w:rsidRPr="00CD5323">
        <w:rPr>
          <w:rStyle w:val="Kpr"/>
        </w:rPr>
        <w:t>resatmsci.com</w:t>
      </w:r>
    </w:hyperlink>
    <w:r w:rsidR="00731ACB">
      <w:t xml:space="preserve"> </w:t>
    </w:r>
    <w:r w:rsidR="00731ACB" w:rsidRPr="00427C4A">
      <w:rPr>
        <w:rFonts w:ascii="Times New Roman" w:hAnsi="Times New Roman" w:cs="Times New Roman"/>
      </w:rPr>
      <w:tab/>
    </w:r>
    <w:r w:rsidR="00731ACB" w:rsidRPr="00427C4A">
      <w:rPr>
        <w:rFonts w:ascii="Times New Roman" w:hAnsi="Times New Roman" w:cs="Times New Roman"/>
      </w:rPr>
      <w:tab/>
    </w:r>
    <w:r w:rsidR="00731ACB" w:rsidRPr="00427C4A">
      <w:rPr>
        <w:rFonts w:ascii="Times New Roman" w:hAnsi="Times New Roman" w:cs="Times New Roman"/>
      </w:rPr>
      <w:fldChar w:fldCharType="begin"/>
    </w:r>
    <w:r w:rsidR="00731ACB" w:rsidRPr="00427C4A">
      <w:rPr>
        <w:rFonts w:ascii="Times New Roman" w:hAnsi="Times New Roman" w:cs="Times New Roman"/>
      </w:rPr>
      <w:instrText xml:space="preserve"> PAGE </w:instrText>
    </w:r>
    <w:r w:rsidR="00731ACB" w:rsidRPr="00427C4A">
      <w:rPr>
        <w:rFonts w:ascii="Times New Roman" w:hAnsi="Times New Roman" w:cs="Times New Roman"/>
      </w:rPr>
      <w:fldChar w:fldCharType="separate"/>
    </w:r>
    <w:r w:rsidR="00130A0E">
      <w:rPr>
        <w:rFonts w:ascii="Times New Roman" w:hAnsi="Times New Roman" w:cs="Times New Roman"/>
        <w:noProof/>
      </w:rPr>
      <w:t>16</w:t>
    </w:r>
    <w:r w:rsidR="00731ACB" w:rsidRPr="00427C4A">
      <w:rPr>
        <w:rFonts w:ascii="Times New Roman" w:hAnsi="Times New Roman" w:cs="Times New Roman"/>
      </w:rPr>
      <w:fldChar w:fldCharType="end"/>
    </w:r>
    <w:r w:rsidR="00731ACB" w:rsidRPr="00427C4A">
      <w:rPr>
        <w:rFonts w:ascii="Times New Roman" w:hAnsi="Times New Roman" w:cs="Times New Roman"/>
        <w: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427C4A" w:rsidRDefault="00130A0E" w:rsidP="00DF1F5C">
    <w:pPr>
      <w:pStyle w:val="AltBilgi"/>
      <w:spacing w:after="0" w:line="240" w:lineRule="auto"/>
      <w:jc w:val="both"/>
      <w:rPr>
        <w:rFonts w:ascii="Times New Roman" w:hAnsi="Times New Roman" w:cs="Times New Roman"/>
      </w:rPr>
    </w:pPr>
    <w:r w:rsidRPr="00130A0E">
      <w:rPr>
        <w:rFonts w:ascii="Times New Roman" w:hAnsi="Times New Roman" w:cs="Times New Roman"/>
        <w:i/>
        <w:szCs w:val="20"/>
      </w:rPr>
      <w:t>Copyright © 2020 RESATMSCI</w:t>
    </w:r>
    <w:r w:rsidR="00731ACB" w:rsidRPr="00427C4A">
      <w:rPr>
        <w:rFonts w:ascii="Times New Roman" w:hAnsi="Times New Roman" w:cs="Times New Roman"/>
      </w:rPr>
      <w:tab/>
    </w:r>
    <w:r w:rsidR="00731ACB" w:rsidRPr="00427C4A">
      <w:rPr>
        <w:rFonts w:ascii="Times New Roman" w:hAnsi="Times New Roman" w:cs="Times New Roman"/>
      </w:rPr>
      <w:tab/>
    </w:r>
    <w:r w:rsidR="00731ACB" w:rsidRPr="00427C4A">
      <w:rPr>
        <w:rFonts w:ascii="Times New Roman" w:hAnsi="Times New Roman" w:cs="Times New Roman"/>
      </w:rPr>
      <w:fldChar w:fldCharType="begin"/>
    </w:r>
    <w:r w:rsidR="00731ACB" w:rsidRPr="00427C4A">
      <w:rPr>
        <w:rFonts w:ascii="Times New Roman" w:hAnsi="Times New Roman" w:cs="Times New Roman"/>
      </w:rPr>
      <w:instrText xml:space="preserve"> PAGE </w:instrText>
    </w:r>
    <w:r w:rsidR="00731ACB" w:rsidRPr="00427C4A">
      <w:rPr>
        <w:rFonts w:ascii="Times New Roman" w:hAnsi="Times New Roman" w:cs="Times New Roman"/>
      </w:rPr>
      <w:fldChar w:fldCharType="separate"/>
    </w:r>
    <w:r w:rsidR="007A7345">
      <w:rPr>
        <w:rFonts w:ascii="Times New Roman" w:hAnsi="Times New Roman" w:cs="Times New Roman"/>
        <w:noProof/>
      </w:rPr>
      <w:t>17</w:t>
    </w:r>
    <w:r w:rsidR="00731ACB" w:rsidRPr="00427C4A">
      <w:rPr>
        <w:rFonts w:ascii="Times New Roman" w:hAnsi="Times New Roman" w:cs="Times New Roman"/>
      </w:rPr>
      <w:fldChar w:fldCharType="end"/>
    </w:r>
    <w:r w:rsidR="00731ACB" w:rsidRPr="00427C4A">
      <w:rPr>
        <w:rFonts w:ascii="Times New Roman" w:hAnsi="Times New Roman" w:cs="Times New Roman"/>
        <w: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8B2E87" w:rsidRDefault="00731ACB" w:rsidP="00A63067">
    <w:pPr>
      <w:pStyle w:val="stBilgi"/>
      <w:spacing w:after="0" w:line="240" w:lineRule="auto"/>
      <w:rPr>
        <w:rFonts w:ascii="Times New Roman" w:hAnsi="Times New Roman" w:cs="Times New Roman"/>
        <w:i/>
        <w:szCs w:val="20"/>
      </w:rPr>
    </w:pPr>
    <w:r w:rsidRPr="00130A0E">
      <w:rPr>
        <w:rFonts w:ascii="Times New Roman" w:hAnsi="Times New Roman" w:cs="Times New Roman"/>
        <w:i/>
        <w:szCs w:val="20"/>
      </w:rPr>
      <w:t>Copyright © 2020 RESATMSC</w:t>
    </w:r>
    <w:r w:rsidR="008B2E87" w:rsidRPr="00130A0E">
      <w:rPr>
        <w:rFonts w:ascii="Times New Roman" w:hAnsi="Times New Roman" w:cs="Times New Roman"/>
        <w:i/>
        <w:szCs w:val="20"/>
      </w:rPr>
      <w:t>I</w:t>
    </w:r>
    <w:r w:rsidRPr="00427C4A">
      <w:rPr>
        <w:rFonts w:ascii="Times New Roman" w:hAnsi="Times New Roman" w:cs="Times New Roman"/>
      </w:rPr>
      <w:tab/>
    </w:r>
    <w:r w:rsidRPr="00427C4A">
      <w:rPr>
        <w:rFonts w:ascii="Times New Roman" w:hAnsi="Times New Roman" w:cs="Times New Roman"/>
      </w:rPr>
      <w:tab/>
    </w:r>
    <w:r w:rsidRPr="00130A0E">
      <w:rPr>
        <w:rFonts w:ascii="Times New Roman" w:hAnsi="Times New Roman" w:cs="Times New Roman"/>
      </w:rPr>
      <w:fldChar w:fldCharType="begin"/>
    </w:r>
    <w:r w:rsidRPr="00130A0E">
      <w:rPr>
        <w:rFonts w:ascii="Times New Roman" w:hAnsi="Times New Roman" w:cs="Times New Roman"/>
      </w:rPr>
      <w:instrText xml:space="preserve"> PAGE </w:instrText>
    </w:r>
    <w:r w:rsidRPr="00130A0E">
      <w:rPr>
        <w:rFonts w:ascii="Times New Roman" w:hAnsi="Times New Roman" w:cs="Times New Roman"/>
      </w:rPr>
      <w:fldChar w:fldCharType="separate"/>
    </w:r>
    <w:r w:rsidR="0070202E">
      <w:rPr>
        <w:rFonts w:ascii="Times New Roman" w:hAnsi="Times New Roman" w:cs="Times New Roman"/>
        <w:noProof/>
      </w:rPr>
      <w:t>12</w:t>
    </w:r>
    <w:r w:rsidRPr="00130A0E">
      <w:rPr>
        <w:rFonts w:ascii="Times New Roman" w:hAnsi="Times New Roman" w:cs="Times New Roman"/>
      </w:rPr>
      <w:fldChar w:fldCharType="end"/>
    </w:r>
    <w:r w:rsidRPr="00427C4A">
      <w:rPr>
        <w:rFonts w:ascii="Times New Roman" w:hAnsi="Times New Roman" w:cs="Times New Roman"/>
        <w: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02E" w:rsidRDefault="0070202E">
      <w:pPr>
        <w:spacing w:after="0" w:line="240" w:lineRule="auto"/>
      </w:pPr>
      <w:r>
        <w:separator/>
      </w:r>
    </w:p>
  </w:footnote>
  <w:footnote w:type="continuationSeparator" w:id="0">
    <w:p w:rsidR="0070202E" w:rsidRDefault="0070202E">
      <w:pPr>
        <w:spacing w:after="0" w:line="240" w:lineRule="auto"/>
      </w:pPr>
      <w:r>
        <w:continuationSeparator/>
      </w:r>
    </w:p>
  </w:footnote>
  <w:footnote w:id="1">
    <w:p w:rsidR="00731ACB" w:rsidRPr="00BE34EF" w:rsidRDefault="00731ACB" w:rsidP="00B62896">
      <w:pPr>
        <w:pStyle w:val="Yazariletisim"/>
      </w:pPr>
      <w:r w:rsidRPr="00B62896">
        <w:rPr>
          <w:rStyle w:val="DipnotBavurusu"/>
          <w:sz w:val="18"/>
        </w:rPr>
        <w:sym w:font="Symbol" w:char="F02A"/>
      </w:r>
      <w:r w:rsidRPr="00B62896">
        <w:rPr>
          <w:sz w:val="18"/>
        </w:rPr>
        <w:t xml:space="preserve"> Corresponding author : Turkish Airlines, Turkish Aviation Academy, Yesilkoy, İstanbul, Turkey, </w:t>
      </w:r>
      <w:hyperlink r:id="rId1" w:history="1">
        <w:r w:rsidRPr="00B62896">
          <w:rPr>
            <w:rStyle w:val="Kpr"/>
            <w:sz w:val="18"/>
          </w:rPr>
          <w:t>herdun@thy.com</w:t>
        </w:r>
      </w:hyperlink>
      <w:r w:rsidRPr="00B62896">
        <w:rPr>
          <w:sz w:val="18"/>
        </w:rPr>
        <w:t>, phone: +90 212 4636363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6C09F8" w:rsidRDefault="00731ACB" w:rsidP="006C09F8">
    <w:pPr>
      <w:pStyle w:val="stBilgi"/>
      <w:spacing w:after="0"/>
      <w:jc w:val="center"/>
    </w:pPr>
    <w:r w:rsidRPr="00D97477">
      <w:rPr>
        <w:rFonts w:ascii="Times New Roman" w:hAnsi="Times New Roman" w:cs="Times New Roman"/>
        <w:i/>
        <w:szCs w:val="20"/>
      </w:rPr>
      <w:t>Journal of Research in Atmospheric Science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D97477" w:rsidRDefault="00731ACB" w:rsidP="00D97477">
    <w:pPr>
      <w:pStyle w:val="stBilgi"/>
      <w:spacing w:after="0" w:line="240" w:lineRule="auto"/>
      <w:jc w:val="center"/>
    </w:pPr>
    <w:r w:rsidRPr="00CD5323">
      <w:rPr>
        <w:noProof/>
        <w:lang w:eastAsia="tr-TR"/>
      </w:rPr>
      <w:t>Journal of Research in Atmospheric Science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000" w:type="pct"/>
      <w:tblLook w:val="04A0" w:firstRow="1" w:lastRow="0" w:firstColumn="1" w:lastColumn="0" w:noHBand="0" w:noVBand="1"/>
    </w:tblPr>
    <w:tblGrid>
      <w:gridCol w:w="3157"/>
      <w:gridCol w:w="4676"/>
      <w:gridCol w:w="2371"/>
    </w:tblGrid>
    <w:tr w:rsidR="00731ACB" w:rsidTr="000F32B4">
      <w:tc>
        <w:tcPr>
          <w:tcW w:w="1546" w:type="pct"/>
          <w:tcBorders>
            <w:top w:val="nil"/>
            <w:left w:val="nil"/>
            <w:bottom w:val="nil"/>
            <w:right w:val="nil"/>
          </w:tcBorders>
        </w:tcPr>
        <w:p w:rsidR="00731ACB" w:rsidRPr="008B2E87" w:rsidRDefault="00731ACB" w:rsidP="008B2E87">
          <w:pPr>
            <w:pStyle w:val="stBilgi"/>
            <w:tabs>
              <w:tab w:val="clear" w:pos="4703"/>
              <w:tab w:val="clear" w:pos="9406"/>
            </w:tabs>
            <w:rPr>
              <w:rFonts w:ascii="Times New Roman" w:hAnsi="Times New Roman" w:cs="Times New Roman"/>
              <w:b/>
              <w:sz w:val="28"/>
              <w:szCs w:val="20"/>
            </w:rPr>
          </w:pPr>
          <w:r w:rsidRPr="009E2550">
            <w:rPr>
              <w:noProof/>
              <w:lang w:eastAsia="tr-TR"/>
            </w:rPr>
            <w:drawing>
              <wp:inline distT="0" distB="0" distL="0" distR="0" wp14:anchorId="5E755ABD" wp14:editId="5726DB5A">
                <wp:extent cx="1865761" cy="640080"/>
                <wp:effectExtent l="0" t="0" r="127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761" cy="640080"/>
                        </a:xfrm>
                        <a:prstGeom prst="rect">
                          <a:avLst/>
                        </a:prstGeom>
                      </pic:spPr>
                    </pic:pic>
                  </a:graphicData>
                </a:graphic>
              </wp:inline>
            </w:drawing>
          </w:r>
        </w:p>
      </w:tc>
      <w:tc>
        <w:tcPr>
          <w:tcW w:w="2291" w:type="pct"/>
          <w:tcBorders>
            <w:top w:val="nil"/>
            <w:left w:val="nil"/>
            <w:bottom w:val="nil"/>
            <w:right w:val="nil"/>
          </w:tcBorders>
          <w:vAlign w:val="center"/>
        </w:tcPr>
        <w:p w:rsidR="008B2E87" w:rsidRPr="00130A0E" w:rsidRDefault="008B2E87" w:rsidP="008B2E87">
          <w:pPr>
            <w:pStyle w:val="stBilgi"/>
            <w:spacing w:after="120"/>
            <w:jc w:val="center"/>
            <w:rPr>
              <w:rFonts w:ascii="Times New Roman" w:hAnsi="Times New Roman" w:cs="Times New Roman"/>
              <w:noProof/>
              <w:color w:val="002060"/>
              <w:lang w:eastAsia="tr-TR"/>
            </w:rPr>
          </w:pPr>
          <w:r w:rsidRPr="00130A0E">
            <w:rPr>
              <w:rFonts w:ascii="Times New Roman" w:hAnsi="Times New Roman" w:cs="Times New Roman"/>
              <w:b/>
              <w:color w:val="002060"/>
              <w:sz w:val="28"/>
              <w:szCs w:val="20"/>
            </w:rPr>
            <w:t>Research Article</w:t>
          </w:r>
        </w:p>
        <w:p w:rsidR="00731ACB" w:rsidRPr="00130A0E" w:rsidRDefault="00731ACB" w:rsidP="00731ACB">
          <w:pPr>
            <w:pStyle w:val="stBilgi"/>
            <w:jc w:val="center"/>
            <w:rPr>
              <w:rFonts w:ascii="Times New Roman" w:hAnsi="Times New Roman" w:cs="Times New Roman"/>
              <w:i/>
              <w:sz w:val="24"/>
              <w:szCs w:val="20"/>
            </w:rPr>
          </w:pPr>
          <w:r w:rsidRPr="00130A0E">
            <w:rPr>
              <w:rFonts w:ascii="Times New Roman" w:hAnsi="Times New Roman" w:cs="Times New Roman"/>
              <w:noProof/>
              <w:sz w:val="24"/>
              <w:lang w:eastAsia="tr-TR"/>
            </w:rPr>
            <w:t>Journal of Research in Atmospheric Science</w:t>
          </w:r>
        </w:p>
        <w:p w:rsidR="00731ACB" w:rsidRPr="000F32B4" w:rsidRDefault="00731ACB" w:rsidP="00731ACB">
          <w:pPr>
            <w:pStyle w:val="stBilgi"/>
            <w:jc w:val="center"/>
            <w:rPr>
              <w:rFonts w:ascii="Times New Roman" w:hAnsi="Times New Roman" w:cs="Times New Roman"/>
              <w:i/>
              <w:sz w:val="24"/>
              <w:szCs w:val="20"/>
            </w:rPr>
          </w:pPr>
          <w:r w:rsidRPr="00130A0E">
            <w:rPr>
              <w:rFonts w:ascii="Times New Roman" w:hAnsi="Times New Roman" w:cs="Times New Roman"/>
              <w:i/>
              <w:sz w:val="24"/>
              <w:szCs w:val="20"/>
            </w:rPr>
            <w:t>Vol. 2, No. 1, pp.  …-…, June 2020</w:t>
          </w:r>
        </w:p>
      </w:tc>
      <w:tc>
        <w:tcPr>
          <w:tcW w:w="1162" w:type="pct"/>
          <w:tcBorders>
            <w:top w:val="nil"/>
            <w:left w:val="nil"/>
            <w:bottom w:val="nil"/>
            <w:right w:val="nil"/>
          </w:tcBorders>
          <w:vAlign w:val="center"/>
        </w:tcPr>
        <w:p w:rsidR="008B2E87" w:rsidRPr="00130A0E" w:rsidRDefault="008B2E87" w:rsidP="00731ACB">
          <w:pPr>
            <w:pStyle w:val="Balk4"/>
            <w:spacing w:before="0"/>
            <w:jc w:val="center"/>
            <w:outlineLvl w:val="3"/>
            <w:rPr>
              <w:rStyle w:val="Kpr"/>
              <w:rFonts w:ascii="Times New Roman" w:hAnsi="Times New Roman" w:cs="Times New Roman"/>
            </w:rPr>
          </w:pPr>
          <w:r w:rsidRPr="00130A0E">
            <w:rPr>
              <w:rFonts w:ascii="Times New Roman" w:hAnsi="Times New Roman" w:cs="Times New Roman"/>
              <w:bCs/>
              <w:i w:val="0"/>
              <w:color w:val="212529"/>
            </w:rPr>
            <w:t>ISSN:2687-6418</w:t>
          </w:r>
        </w:p>
        <w:p w:rsidR="00731ACB" w:rsidRPr="000F32B4" w:rsidRDefault="0070202E" w:rsidP="00731ACB">
          <w:pPr>
            <w:pStyle w:val="Balk4"/>
            <w:spacing w:before="0"/>
            <w:jc w:val="center"/>
            <w:outlineLvl w:val="3"/>
            <w:rPr>
              <w:rFonts w:ascii="Times New Roman" w:hAnsi="Times New Roman" w:cs="Times New Roman"/>
              <w:b/>
              <w:i w:val="0"/>
              <w:sz w:val="28"/>
              <w:szCs w:val="20"/>
            </w:rPr>
          </w:pPr>
          <w:hyperlink r:id="rId2" w:history="1">
            <w:r w:rsidR="008B2E87" w:rsidRPr="00130A0E">
              <w:rPr>
                <w:rStyle w:val="Kpr"/>
                <w:rFonts w:ascii="Times New Roman" w:hAnsi="Times New Roman" w:cs="Times New Roman"/>
                <w:i w:val="0"/>
              </w:rPr>
              <w:t>http://resatmsci.com/</w:t>
            </w:r>
          </w:hyperlink>
        </w:p>
      </w:tc>
    </w:tr>
  </w:tbl>
  <w:p w:rsidR="00731ACB" w:rsidRPr="00ED713C" w:rsidRDefault="00731ACB" w:rsidP="00ED713C">
    <w:pPr>
      <w:pStyle w:val="stBilgi"/>
      <w:tabs>
        <w:tab w:val="clear" w:pos="4703"/>
        <w:tab w:val="clear" w:pos="9406"/>
      </w:tabs>
      <w:spacing w:after="0" w:line="240" w:lineRule="auto"/>
      <w:rPr>
        <w:rFonts w:ascii="Times New Roman" w:hAnsi="Times New Roman" w:cs="Times New Roman"/>
        <w:sz w:val="18"/>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6C09F8" w:rsidRDefault="00731ACB" w:rsidP="006C09F8">
    <w:pPr>
      <w:pStyle w:val="stBilgi"/>
      <w:spacing w:after="0"/>
      <w:jc w:val="center"/>
    </w:pPr>
    <w:r w:rsidRPr="00CD5323">
      <w:rPr>
        <w:rFonts w:ascii="Times New Roman" w:hAnsi="Times New Roman" w:cs="Times New Roman"/>
        <w:i/>
        <w:szCs w:val="20"/>
      </w:rPr>
      <w:t>Journal of Research in Atmospheric Science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B" w:rsidRPr="00CD5323" w:rsidRDefault="00731ACB" w:rsidP="00CD5323">
    <w:pPr>
      <w:pStyle w:val="stBilgi"/>
      <w:jc w:val="center"/>
    </w:pPr>
    <w:r>
      <w:rPr>
        <w:rFonts w:ascii="Arial" w:hAnsi="Arial" w:cs="Arial"/>
        <w:color w:val="464855"/>
        <w:sz w:val="18"/>
        <w:szCs w:val="18"/>
        <w:shd w:val="clear" w:color="auto" w:fill="FFFFFF"/>
      </w:rPr>
      <w:t>Journal of Research in Atmospheric Science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34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5B2"/>
    <w:rsid w:val="00005CA2"/>
    <w:rsid w:val="000163B8"/>
    <w:rsid w:val="000347BD"/>
    <w:rsid w:val="00037330"/>
    <w:rsid w:val="00051BF1"/>
    <w:rsid w:val="00085C9E"/>
    <w:rsid w:val="000D2DB7"/>
    <w:rsid w:val="000F32B4"/>
    <w:rsid w:val="0011120E"/>
    <w:rsid w:val="00116B78"/>
    <w:rsid w:val="00117027"/>
    <w:rsid w:val="0012603E"/>
    <w:rsid w:val="00130A0E"/>
    <w:rsid w:val="00137D0C"/>
    <w:rsid w:val="00141972"/>
    <w:rsid w:val="00160B92"/>
    <w:rsid w:val="001A747E"/>
    <w:rsid w:val="001C082C"/>
    <w:rsid w:val="00221D92"/>
    <w:rsid w:val="0024145F"/>
    <w:rsid w:val="00251DD4"/>
    <w:rsid w:val="00263DB9"/>
    <w:rsid w:val="00294183"/>
    <w:rsid w:val="002A1A6F"/>
    <w:rsid w:val="002B1891"/>
    <w:rsid w:val="002B1C67"/>
    <w:rsid w:val="002B5E2D"/>
    <w:rsid w:val="002C376A"/>
    <w:rsid w:val="002C58AE"/>
    <w:rsid w:val="002F24E3"/>
    <w:rsid w:val="00307F70"/>
    <w:rsid w:val="0036066A"/>
    <w:rsid w:val="00363582"/>
    <w:rsid w:val="0038619D"/>
    <w:rsid w:val="00393EF3"/>
    <w:rsid w:val="003B3771"/>
    <w:rsid w:val="003D2153"/>
    <w:rsid w:val="003E12DB"/>
    <w:rsid w:val="003E4C06"/>
    <w:rsid w:val="003F3C2A"/>
    <w:rsid w:val="0041463C"/>
    <w:rsid w:val="00427C4A"/>
    <w:rsid w:val="00431540"/>
    <w:rsid w:val="004425EA"/>
    <w:rsid w:val="004544C8"/>
    <w:rsid w:val="00482D31"/>
    <w:rsid w:val="00483DB1"/>
    <w:rsid w:val="004A3E52"/>
    <w:rsid w:val="004A5442"/>
    <w:rsid w:val="004C2B31"/>
    <w:rsid w:val="004D13D9"/>
    <w:rsid w:val="004F1000"/>
    <w:rsid w:val="00512B3F"/>
    <w:rsid w:val="00544408"/>
    <w:rsid w:val="00545F4E"/>
    <w:rsid w:val="005473AD"/>
    <w:rsid w:val="0056042C"/>
    <w:rsid w:val="0056132B"/>
    <w:rsid w:val="00561B87"/>
    <w:rsid w:val="00563541"/>
    <w:rsid w:val="0057107E"/>
    <w:rsid w:val="00580B87"/>
    <w:rsid w:val="00586D5C"/>
    <w:rsid w:val="005966D0"/>
    <w:rsid w:val="005A2E68"/>
    <w:rsid w:val="005A7F41"/>
    <w:rsid w:val="005C2C18"/>
    <w:rsid w:val="005C5738"/>
    <w:rsid w:val="005C7953"/>
    <w:rsid w:val="005D0663"/>
    <w:rsid w:val="005E2C15"/>
    <w:rsid w:val="0060242A"/>
    <w:rsid w:val="00623E79"/>
    <w:rsid w:val="0063061C"/>
    <w:rsid w:val="006317DF"/>
    <w:rsid w:val="006460BC"/>
    <w:rsid w:val="006528F1"/>
    <w:rsid w:val="00664144"/>
    <w:rsid w:val="006C09F8"/>
    <w:rsid w:val="006D2AB1"/>
    <w:rsid w:val="006E40F0"/>
    <w:rsid w:val="0070202E"/>
    <w:rsid w:val="00716F1D"/>
    <w:rsid w:val="0073106E"/>
    <w:rsid w:val="00731ACB"/>
    <w:rsid w:val="00740BA1"/>
    <w:rsid w:val="007474FB"/>
    <w:rsid w:val="00747669"/>
    <w:rsid w:val="0074775F"/>
    <w:rsid w:val="007513FF"/>
    <w:rsid w:val="00756C73"/>
    <w:rsid w:val="00775B31"/>
    <w:rsid w:val="00785C80"/>
    <w:rsid w:val="007A7345"/>
    <w:rsid w:val="007B2892"/>
    <w:rsid w:val="007B407A"/>
    <w:rsid w:val="007B56CB"/>
    <w:rsid w:val="007B73B5"/>
    <w:rsid w:val="007D01BD"/>
    <w:rsid w:val="007D3C91"/>
    <w:rsid w:val="007D56B0"/>
    <w:rsid w:val="007D588F"/>
    <w:rsid w:val="00803FA1"/>
    <w:rsid w:val="00856053"/>
    <w:rsid w:val="00863A25"/>
    <w:rsid w:val="00895FA2"/>
    <w:rsid w:val="0089636F"/>
    <w:rsid w:val="008B292F"/>
    <w:rsid w:val="008B2E87"/>
    <w:rsid w:val="008B5F73"/>
    <w:rsid w:val="008C4E5A"/>
    <w:rsid w:val="008D2ED8"/>
    <w:rsid w:val="009050FB"/>
    <w:rsid w:val="0092451E"/>
    <w:rsid w:val="00947D28"/>
    <w:rsid w:val="00975343"/>
    <w:rsid w:val="00994076"/>
    <w:rsid w:val="009B029E"/>
    <w:rsid w:val="009B0DFD"/>
    <w:rsid w:val="009B4A4C"/>
    <w:rsid w:val="009B5BEC"/>
    <w:rsid w:val="009C19B4"/>
    <w:rsid w:val="009C59B5"/>
    <w:rsid w:val="009D56BF"/>
    <w:rsid w:val="009E2550"/>
    <w:rsid w:val="009F5375"/>
    <w:rsid w:val="00A14E08"/>
    <w:rsid w:val="00A20CA6"/>
    <w:rsid w:val="00A434A5"/>
    <w:rsid w:val="00A45835"/>
    <w:rsid w:val="00A53103"/>
    <w:rsid w:val="00A63067"/>
    <w:rsid w:val="00A6428B"/>
    <w:rsid w:val="00A70C96"/>
    <w:rsid w:val="00A73409"/>
    <w:rsid w:val="00A86EAF"/>
    <w:rsid w:val="00AA7329"/>
    <w:rsid w:val="00AC1AA2"/>
    <w:rsid w:val="00AC473A"/>
    <w:rsid w:val="00AE57C4"/>
    <w:rsid w:val="00B039AB"/>
    <w:rsid w:val="00B0610C"/>
    <w:rsid w:val="00B57176"/>
    <w:rsid w:val="00B615D8"/>
    <w:rsid w:val="00B62896"/>
    <w:rsid w:val="00B642CA"/>
    <w:rsid w:val="00B86500"/>
    <w:rsid w:val="00B86ACD"/>
    <w:rsid w:val="00B87011"/>
    <w:rsid w:val="00BA7D67"/>
    <w:rsid w:val="00BD06A4"/>
    <w:rsid w:val="00BD126C"/>
    <w:rsid w:val="00BD6E87"/>
    <w:rsid w:val="00BE0710"/>
    <w:rsid w:val="00BE34EF"/>
    <w:rsid w:val="00BF34E3"/>
    <w:rsid w:val="00C026A8"/>
    <w:rsid w:val="00C031D8"/>
    <w:rsid w:val="00C041D5"/>
    <w:rsid w:val="00C10A8B"/>
    <w:rsid w:val="00C114E8"/>
    <w:rsid w:val="00C20A0F"/>
    <w:rsid w:val="00C22613"/>
    <w:rsid w:val="00C3007A"/>
    <w:rsid w:val="00C37273"/>
    <w:rsid w:val="00C4211D"/>
    <w:rsid w:val="00C530DF"/>
    <w:rsid w:val="00C6195D"/>
    <w:rsid w:val="00C91C5D"/>
    <w:rsid w:val="00CA4F32"/>
    <w:rsid w:val="00CB2C37"/>
    <w:rsid w:val="00CD5323"/>
    <w:rsid w:val="00D06CE2"/>
    <w:rsid w:val="00D302F2"/>
    <w:rsid w:val="00D45CDA"/>
    <w:rsid w:val="00D50BCC"/>
    <w:rsid w:val="00D6304F"/>
    <w:rsid w:val="00D75C65"/>
    <w:rsid w:val="00D97477"/>
    <w:rsid w:val="00DA71B2"/>
    <w:rsid w:val="00DC4EA5"/>
    <w:rsid w:val="00DD18D7"/>
    <w:rsid w:val="00DF1F5C"/>
    <w:rsid w:val="00E263CB"/>
    <w:rsid w:val="00E2792D"/>
    <w:rsid w:val="00E34361"/>
    <w:rsid w:val="00E6699C"/>
    <w:rsid w:val="00E677CE"/>
    <w:rsid w:val="00E755B2"/>
    <w:rsid w:val="00EA6085"/>
    <w:rsid w:val="00EA70DD"/>
    <w:rsid w:val="00ED1490"/>
    <w:rsid w:val="00ED713C"/>
    <w:rsid w:val="00EF0D71"/>
    <w:rsid w:val="00F01407"/>
    <w:rsid w:val="00F24BBA"/>
    <w:rsid w:val="00F347FC"/>
    <w:rsid w:val="00F73543"/>
    <w:rsid w:val="00FC0AB3"/>
    <w:rsid w:val="00FC7E57"/>
    <w:rsid w:val="00FE0CA1"/>
    <w:rsid w:val="00FE4B73"/>
    <w:rsid w:val="00FF0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DA88E"/>
  <w15:docId w15:val="{AB0684B0-335A-411B-9D82-E1BF3F32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5B2"/>
    <w:pPr>
      <w:suppressAutoHyphens/>
    </w:pPr>
    <w:rPr>
      <w:rFonts w:ascii="Calibri" w:eastAsia="Droid Sans" w:hAnsi="Calibri" w:cs="font298"/>
      <w:kern w:val="1"/>
      <w:lang w:val="tr-TR" w:eastAsia="ar-SA"/>
    </w:rPr>
  </w:style>
  <w:style w:type="paragraph" w:styleId="Balk1">
    <w:name w:val="heading 1"/>
    <w:basedOn w:val="Normal"/>
    <w:next w:val="GvdeMetni"/>
    <w:link w:val="Balk1Char1"/>
    <w:qFormat/>
    <w:rsid w:val="00E755B2"/>
    <w:pPr>
      <w:numPr>
        <w:numId w:val="1"/>
      </w:numPr>
      <w:suppressAutoHyphens w:val="0"/>
      <w:spacing w:before="280" w:after="280" w:line="240" w:lineRule="auto"/>
      <w:outlineLvl w:val="0"/>
    </w:pPr>
    <w:rPr>
      <w:rFonts w:ascii="Times New Roman" w:eastAsia="Times New Roman" w:hAnsi="Times New Roman" w:cs="Times New Roman"/>
      <w:b/>
      <w:bCs/>
      <w:sz w:val="48"/>
      <w:szCs w:val="48"/>
    </w:rPr>
  </w:style>
  <w:style w:type="paragraph" w:styleId="Balk4">
    <w:name w:val="heading 4"/>
    <w:basedOn w:val="Normal"/>
    <w:next w:val="Normal"/>
    <w:link w:val="Balk4Char"/>
    <w:uiPriority w:val="9"/>
    <w:unhideWhenUsed/>
    <w:qFormat/>
    <w:rsid w:val="000347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1">
    <w:name w:val="Başlık 1 Char1"/>
    <w:basedOn w:val="VarsaylanParagrafYazTipi"/>
    <w:link w:val="Balk1"/>
    <w:rsid w:val="00E755B2"/>
    <w:rPr>
      <w:rFonts w:ascii="Times New Roman" w:eastAsia="Times New Roman" w:hAnsi="Times New Roman" w:cs="Times New Roman"/>
      <w:b/>
      <w:bCs/>
      <w:kern w:val="1"/>
      <w:sz w:val="48"/>
      <w:szCs w:val="48"/>
      <w:lang w:val="tr-TR" w:eastAsia="ar-SA"/>
    </w:rPr>
  </w:style>
  <w:style w:type="character" w:customStyle="1" w:styleId="VarsaylanParagrafYazTipi3">
    <w:name w:val="Varsayılan Paragraf Yazı Tipi3"/>
    <w:rsid w:val="00E755B2"/>
  </w:style>
  <w:style w:type="character" w:customStyle="1" w:styleId="VarsaylanParagrafYazTipi2">
    <w:name w:val="Varsayılan Paragraf Yazı Tipi2"/>
    <w:rsid w:val="00E755B2"/>
  </w:style>
  <w:style w:type="character" w:customStyle="1" w:styleId="VarsaylanParagrafYazTipi1">
    <w:name w:val="Varsayılan Paragraf Yazı Tipi1"/>
    <w:rsid w:val="00E755B2"/>
  </w:style>
  <w:style w:type="character" w:customStyle="1" w:styleId="WW-DefaultParagraphFont">
    <w:name w:val="WW-Default Paragraph Font"/>
    <w:rsid w:val="00E755B2"/>
  </w:style>
  <w:style w:type="character" w:styleId="Kpr">
    <w:name w:val="Hyperlink"/>
    <w:rsid w:val="00E755B2"/>
    <w:rPr>
      <w:color w:val="0000FF"/>
      <w:u w:val="single"/>
    </w:rPr>
  </w:style>
  <w:style w:type="character" w:customStyle="1" w:styleId="BalonMetniChar">
    <w:name w:val="Balon Metni Char"/>
    <w:rsid w:val="00E755B2"/>
    <w:rPr>
      <w:rFonts w:ascii="Tahoma" w:hAnsi="Tahoma" w:cs="Tahoma"/>
      <w:sz w:val="16"/>
      <w:szCs w:val="16"/>
    </w:rPr>
  </w:style>
  <w:style w:type="character" w:customStyle="1" w:styleId="BalonMetniChar1">
    <w:name w:val="Balon Metni Char1"/>
    <w:rsid w:val="00E755B2"/>
    <w:rPr>
      <w:rFonts w:ascii="Tahoma" w:eastAsia="Droid Sans" w:hAnsi="Tahoma" w:cs="Tahoma"/>
      <w:kern w:val="1"/>
      <w:sz w:val="16"/>
      <w:szCs w:val="16"/>
    </w:rPr>
  </w:style>
  <w:style w:type="character" w:customStyle="1" w:styleId="DipnotMetniChar">
    <w:name w:val="Dipnot Metni Char"/>
    <w:rsid w:val="00E755B2"/>
    <w:rPr>
      <w:rFonts w:ascii="Calibri" w:eastAsia="Droid Sans" w:hAnsi="Calibri" w:cs="font298"/>
      <w:kern w:val="1"/>
    </w:rPr>
  </w:style>
  <w:style w:type="character" w:customStyle="1" w:styleId="FootnoteCharacters">
    <w:name w:val="Footnote Characters"/>
    <w:rsid w:val="00E755B2"/>
    <w:rPr>
      <w:vertAlign w:val="superscript"/>
    </w:rPr>
  </w:style>
  <w:style w:type="character" w:customStyle="1" w:styleId="Balk1Char">
    <w:name w:val="Başlık 1 Char"/>
    <w:rsid w:val="00E755B2"/>
    <w:rPr>
      <w:b/>
      <w:bCs/>
      <w:kern w:val="1"/>
      <w:sz w:val="48"/>
      <w:szCs w:val="48"/>
    </w:rPr>
  </w:style>
  <w:style w:type="character" w:customStyle="1" w:styleId="apple-converted-space">
    <w:name w:val="apple-converted-space"/>
    <w:rsid w:val="00E755B2"/>
  </w:style>
  <w:style w:type="character" w:styleId="SatrNumaras">
    <w:name w:val="line number"/>
    <w:rsid w:val="00E755B2"/>
  </w:style>
  <w:style w:type="character" w:customStyle="1" w:styleId="DipnotBavurusu1">
    <w:name w:val="Dipnot Başvurusu1"/>
    <w:rsid w:val="00E755B2"/>
    <w:rPr>
      <w:vertAlign w:val="superscript"/>
    </w:rPr>
  </w:style>
  <w:style w:type="character" w:customStyle="1" w:styleId="EndnoteCharacters">
    <w:name w:val="Endnote Characters"/>
    <w:rsid w:val="00E755B2"/>
    <w:rPr>
      <w:vertAlign w:val="superscript"/>
    </w:rPr>
  </w:style>
  <w:style w:type="character" w:customStyle="1" w:styleId="WW-EndnoteCharacters">
    <w:name w:val="WW-Endnote Characters"/>
    <w:rsid w:val="00E755B2"/>
  </w:style>
  <w:style w:type="character" w:customStyle="1" w:styleId="SonnotBavurusu1">
    <w:name w:val="Sonnot Başvurusu1"/>
    <w:rsid w:val="00E755B2"/>
    <w:rPr>
      <w:vertAlign w:val="superscript"/>
    </w:rPr>
  </w:style>
  <w:style w:type="character" w:customStyle="1" w:styleId="DipnotBavurusu2">
    <w:name w:val="Dipnot Başvurusu2"/>
    <w:rsid w:val="00E755B2"/>
    <w:rPr>
      <w:vertAlign w:val="superscript"/>
    </w:rPr>
  </w:style>
  <w:style w:type="character" w:customStyle="1" w:styleId="SonnotBavurusu2">
    <w:name w:val="Sonnot Başvurusu2"/>
    <w:rsid w:val="00E755B2"/>
    <w:rPr>
      <w:vertAlign w:val="superscript"/>
    </w:rPr>
  </w:style>
  <w:style w:type="character" w:customStyle="1" w:styleId="HeaderChar">
    <w:name w:val="Header Char"/>
    <w:rsid w:val="00E755B2"/>
    <w:rPr>
      <w:rFonts w:ascii="Calibri" w:eastAsia="Droid Sans" w:hAnsi="Calibri" w:cs="font298"/>
      <w:kern w:val="1"/>
      <w:sz w:val="22"/>
      <w:szCs w:val="22"/>
      <w:lang w:val="tr-TR"/>
    </w:rPr>
  </w:style>
  <w:style w:type="character" w:customStyle="1" w:styleId="FooterChar">
    <w:name w:val="Footer Char"/>
    <w:rsid w:val="00E755B2"/>
    <w:rPr>
      <w:rFonts w:ascii="Calibri" w:eastAsia="Droid Sans" w:hAnsi="Calibri" w:cs="font298"/>
      <w:kern w:val="1"/>
      <w:sz w:val="22"/>
      <w:szCs w:val="22"/>
      <w:lang w:val="tr-TR"/>
    </w:rPr>
  </w:style>
  <w:style w:type="character" w:styleId="AklamaBavurusu">
    <w:name w:val="annotation reference"/>
    <w:rsid w:val="00E755B2"/>
    <w:rPr>
      <w:sz w:val="16"/>
      <w:szCs w:val="16"/>
    </w:rPr>
  </w:style>
  <w:style w:type="character" w:customStyle="1" w:styleId="CommentTextChar">
    <w:name w:val="Comment Text Char"/>
    <w:rsid w:val="00E755B2"/>
    <w:rPr>
      <w:rFonts w:ascii="Calibri" w:eastAsia="Droid Sans" w:hAnsi="Calibri" w:cs="font298"/>
      <w:kern w:val="1"/>
    </w:rPr>
  </w:style>
  <w:style w:type="character" w:customStyle="1" w:styleId="CommentSubjectChar">
    <w:name w:val="Comment Subject Char"/>
    <w:rsid w:val="00E755B2"/>
    <w:rPr>
      <w:rFonts w:ascii="Calibri" w:eastAsia="Droid Sans" w:hAnsi="Calibri" w:cs="font298"/>
      <w:b/>
      <w:bCs/>
      <w:kern w:val="1"/>
    </w:rPr>
  </w:style>
  <w:style w:type="character" w:styleId="DipnotBavurusu">
    <w:name w:val="footnote reference"/>
    <w:rsid w:val="00E755B2"/>
    <w:rPr>
      <w:vertAlign w:val="superscript"/>
    </w:rPr>
  </w:style>
  <w:style w:type="character" w:styleId="SonnotBavurusu">
    <w:name w:val="endnote reference"/>
    <w:rsid w:val="00E755B2"/>
    <w:rPr>
      <w:vertAlign w:val="superscript"/>
    </w:rPr>
  </w:style>
  <w:style w:type="character" w:customStyle="1" w:styleId="NumberingSymbols">
    <w:name w:val="Numbering Symbols"/>
    <w:rsid w:val="00E755B2"/>
  </w:style>
  <w:style w:type="paragraph" w:customStyle="1" w:styleId="Heading">
    <w:name w:val="Heading"/>
    <w:basedOn w:val="Normal"/>
    <w:next w:val="GvdeMetni"/>
    <w:rsid w:val="00E755B2"/>
    <w:pPr>
      <w:keepNext/>
      <w:spacing w:before="240" w:after="120"/>
    </w:pPr>
    <w:rPr>
      <w:rFonts w:ascii="Liberation Sans" w:hAnsi="Liberation Sans" w:cs="DejaVu Sans"/>
      <w:sz w:val="28"/>
      <w:szCs w:val="28"/>
    </w:rPr>
  </w:style>
  <w:style w:type="paragraph" w:styleId="GvdeMetni">
    <w:name w:val="Body Text"/>
    <w:basedOn w:val="Normal"/>
    <w:link w:val="GvdeMetniChar"/>
    <w:rsid w:val="00E755B2"/>
    <w:pPr>
      <w:spacing w:after="120"/>
    </w:pPr>
  </w:style>
  <w:style w:type="character" w:customStyle="1" w:styleId="GvdeMetniChar">
    <w:name w:val="Gövde Metni Char"/>
    <w:basedOn w:val="VarsaylanParagrafYazTipi"/>
    <w:link w:val="GvdeMetni"/>
    <w:rsid w:val="00E755B2"/>
    <w:rPr>
      <w:rFonts w:ascii="Calibri" w:eastAsia="Droid Sans" w:hAnsi="Calibri" w:cs="font298"/>
      <w:kern w:val="1"/>
      <w:lang w:val="tr-TR" w:eastAsia="ar-SA"/>
    </w:rPr>
  </w:style>
  <w:style w:type="paragraph" w:styleId="Liste">
    <w:name w:val="List"/>
    <w:basedOn w:val="GvdeMetni"/>
    <w:rsid w:val="00E755B2"/>
    <w:rPr>
      <w:rFonts w:cs="DejaVu Sans"/>
    </w:rPr>
  </w:style>
  <w:style w:type="paragraph" w:styleId="ResimYazs">
    <w:name w:val="caption"/>
    <w:basedOn w:val="Normal"/>
    <w:qFormat/>
    <w:rsid w:val="007D3C91"/>
    <w:pPr>
      <w:suppressLineNumbers/>
      <w:spacing w:before="120" w:after="120" w:line="240" w:lineRule="auto"/>
    </w:pPr>
    <w:rPr>
      <w:rFonts w:ascii="Times New Roman" w:hAnsi="Times New Roman" w:cs="Lohit Hindi"/>
      <w:i/>
      <w:iCs/>
      <w:sz w:val="20"/>
      <w:szCs w:val="24"/>
    </w:rPr>
  </w:style>
  <w:style w:type="paragraph" w:customStyle="1" w:styleId="Index">
    <w:name w:val="Index"/>
    <w:basedOn w:val="Normal"/>
    <w:rsid w:val="00E755B2"/>
    <w:pPr>
      <w:suppressLineNumbers/>
    </w:pPr>
    <w:rPr>
      <w:rFonts w:cs="DejaVu Sans"/>
    </w:rPr>
  </w:style>
  <w:style w:type="paragraph" w:customStyle="1" w:styleId="ResimYazs1">
    <w:name w:val="Resim Yazısı1"/>
    <w:basedOn w:val="Normal"/>
    <w:rsid w:val="00E755B2"/>
    <w:pPr>
      <w:suppressLineNumbers/>
      <w:spacing w:before="120" w:after="120"/>
    </w:pPr>
    <w:rPr>
      <w:rFonts w:cs="DejaVu Sans"/>
      <w:i/>
      <w:iCs/>
      <w:sz w:val="24"/>
      <w:szCs w:val="24"/>
    </w:rPr>
  </w:style>
  <w:style w:type="paragraph" w:customStyle="1" w:styleId="WW-Varsaylan">
    <w:name w:val="WW-Varsayılan"/>
    <w:link w:val="WW-VarsaylanChar"/>
    <w:rsid w:val="00E755B2"/>
    <w:pPr>
      <w:widowControl w:val="0"/>
      <w:suppressAutoHyphens/>
      <w:spacing w:after="0" w:line="100" w:lineRule="atLeast"/>
    </w:pPr>
    <w:rPr>
      <w:rFonts w:ascii="Times New Roman" w:eastAsia="Arial" w:hAnsi="Times New Roman" w:cs="Arial"/>
      <w:kern w:val="1"/>
      <w:sz w:val="24"/>
      <w:szCs w:val="24"/>
      <w:lang w:eastAsia="hi-IN" w:bidi="hi-IN"/>
    </w:rPr>
  </w:style>
  <w:style w:type="paragraph" w:styleId="BalonMetni">
    <w:name w:val="Balloon Text"/>
    <w:basedOn w:val="Normal"/>
    <w:link w:val="BalonMetniChar2"/>
    <w:rsid w:val="00E755B2"/>
    <w:pPr>
      <w:spacing w:after="0" w:line="100" w:lineRule="atLeast"/>
    </w:pPr>
    <w:rPr>
      <w:rFonts w:ascii="Tahoma" w:hAnsi="Tahoma" w:cs="Tahoma"/>
      <w:sz w:val="16"/>
      <w:szCs w:val="16"/>
    </w:rPr>
  </w:style>
  <w:style w:type="character" w:customStyle="1" w:styleId="BalonMetniChar2">
    <w:name w:val="Balon Metni Char2"/>
    <w:basedOn w:val="VarsaylanParagrafYazTipi"/>
    <w:link w:val="BalonMetni"/>
    <w:rsid w:val="00E755B2"/>
    <w:rPr>
      <w:rFonts w:ascii="Tahoma" w:eastAsia="Droid Sans" w:hAnsi="Tahoma" w:cs="Tahoma"/>
      <w:kern w:val="1"/>
      <w:sz w:val="16"/>
      <w:szCs w:val="16"/>
      <w:lang w:val="tr-TR" w:eastAsia="ar-SA"/>
    </w:rPr>
  </w:style>
  <w:style w:type="paragraph" w:customStyle="1" w:styleId="BalonMetni1">
    <w:name w:val="Balon Metni1"/>
    <w:basedOn w:val="Normal"/>
    <w:rsid w:val="00E755B2"/>
    <w:pPr>
      <w:spacing w:after="0" w:line="240" w:lineRule="auto"/>
    </w:pPr>
    <w:rPr>
      <w:rFonts w:ascii="Tahoma" w:hAnsi="Tahoma" w:cs="Tahoma"/>
      <w:sz w:val="16"/>
      <w:szCs w:val="16"/>
    </w:rPr>
  </w:style>
  <w:style w:type="paragraph" w:styleId="DipnotMetni">
    <w:name w:val="footnote text"/>
    <w:basedOn w:val="Normal"/>
    <w:link w:val="DipnotMetniChar1"/>
    <w:rsid w:val="00E755B2"/>
    <w:rPr>
      <w:sz w:val="20"/>
      <w:szCs w:val="20"/>
    </w:rPr>
  </w:style>
  <w:style w:type="character" w:customStyle="1" w:styleId="DipnotMetniChar1">
    <w:name w:val="Dipnot Metni Char1"/>
    <w:basedOn w:val="VarsaylanParagrafYazTipi"/>
    <w:link w:val="DipnotMetni"/>
    <w:rsid w:val="00E755B2"/>
    <w:rPr>
      <w:rFonts w:ascii="Calibri" w:eastAsia="Droid Sans" w:hAnsi="Calibri" w:cs="font298"/>
      <w:kern w:val="1"/>
      <w:sz w:val="20"/>
      <w:szCs w:val="20"/>
      <w:lang w:val="tr-TR" w:eastAsia="ar-SA"/>
    </w:rPr>
  </w:style>
  <w:style w:type="paragraph" w:customStyle="1" w:styleId="Standard">
    <w:name w:val="Standard"/>
    <w:rsid w:val="00E755B2"/>
    <w:pPr>
      <w:widowControl w:val="0"/>
      <w:suppressAutoHyphens/>
      <w:spacing w:after="0" w:line="240" w:lineRule="auto"/>
      <w:textAlignment w:val="baseline"/>
    </w:pPr>
    <w:rPr>
      <w:rFonts w:ascii="Liberation Serif" w:eastAsia="DejaVu Sans" w:hAnsi="Liberation Serif" w:cs="DejaVu Sans"/>
      <w:kern w:val="1"/>
      <w:sz w:val="24"/>
      <w:szCs w:val="24"/>
      <w:lang w:eastAsia="ar-SA"/>
    </w:rPr>
  </w:style>
  <w:style w:type="paragraph" w:customStyle="1" w:styleId="TableContents">
    <w:name w:val="Table Contents"/>
    <w:basedOn w:val="Normal"/>
    <w:rsid w:val="00E755B2"/>
    <w:pPr>
      <w:suppressLineNumbers/>
    </w:pPr>
  </w:style>
  <w:style w:type="paragraph" w:customStyle="1" w:styleId="TableHeading">
    <w:name w:val="Table Heading"/>
    <w:basedOn w:val="TableContents"/>
    <w:rsid w:val="00E755B2"/>
    <w:pPr>
      <w:jc w:val="center"/>
    </w:pPr>
    <w:rPr>
      <w:b/>
      <w:bCs/>
    </w:rPr>
  </w:style>
  <w:style w:type="paragraph" w:styleId="stBilgi">
    <w:name w:val="header"/>
    <w:basedOn w:val="Normal"/>
    <w:link w:val="stBilgiChar"/>
    <w:rsid w:val="00E755B2"/>
    <w:pPr>
      <w:tabs>
        <w:tab w:val="center" w:pos="4703"/>
        <w:tab w:val="right" w:pos="9406"/>
      </w:tabs>
    </w:pPr>
  </w:style>
  <w:style w:type="character" w:customStyle="1" w:styleId="stBilgiChar">
    <w:name w:val="Üst Bilgi Char"/>
    <w:basedOn w:val="VarsaylanParagrafYazTipi"/>
    <w:link w:val="stBilgi"/>
    <w:rsid w:val="00E755B2"/>
    <w:rPr>
      <w:rFonts w:ascii="Calibri" w:eastAsia="Droid Sans" w:hAnsi="Calibri" w:cs="font298"/>
      <w:kern w:val="1"/>
      <w:lang w:val="tr-TR" w:eastAsia="ar-SA"/>
    </w:rPr>
  </w:style>
  <w:style w:type="paragraph" w:styleId="AltBilgi">
    <w:name w:val="footer"/>
    <w:basedOn w:val="Normal"/>
    <w:link w:val="AltBilgiChar"/>
    <w:rsid w:val="00E755B2"/>
    <w:pPr>
      <w:tabs>
        <w:tab w:val="center" w:pos="4703"/>
        <w:tab w:val="right" w:pos="9406"/>
      </w:tabs>
    </w:pPr>
  </w:style>
  <w:style w:type="character" w:customStyle="1" w:styleId="AltBilgiChar">
    <w:name w:val="Alt Bilgi Char"/>
    <w:basedOn w:val="VarsaylanParagrafYazTipi"/>
    <w:link w:val="AltBilgi"/>
    <w:rsid w:val="00E755B2"/>
    <w:rPr>
      <w:rFonts w:ascii="Calibri" w:eastAsia="Droid Sans" w:hAnsi="Calibri" w:cs="font298"/>
      <w:kern w:val="1"/>
      <w:lang w:val="tr-TR" w:eastAsia="ar-SA"/>
    </w:rPr>
  </w:style>
  <w:style w:type="paragraph" w:styleId="AklamaMetni">
    <w:name w:val="annotation text"/>
    <w:basedOn w:val="Normal"/>
    <w:link w:val="AklamaMetniChar"/>
    <w:rsid w:val="00E755B2"/>
    <w:rPr>
      <w:sz w:val="20"/>
      <w:szCs w:val="20"/>
    </w:rPr>
  </w:style>
  <w:style w:type="character" w:customStyle="1" w:styleId="AklamaMetniChar">
    <w:name w:val="Açıklama Metni Char"/>
    <w:basedOn w:val="VarsaylanParagrafYazTipi"/>
    <w:link w:val="AklamaMetni"/>
    <w:rsid w:val="00E755B2"/>
    <w:rPr>
      <w:rFonts w:ascii="Calibri" w:eastAsia="Droid Sans" w:hAnsi="Calibri" w:cs="font298"/>
      <w:kern w:val="1"/>
      <w:sz w:val="20"/>
      <w:szCs w:val="20"/>
      <w:lang w:val="tr-TR" w:eastAsia="ar-SA"/>
    </w:rPr>
  </w:style>
  <w:style w:type="paragraph" w:styleId="AklamaKonusu">
    <w:name w:val="annotation subject"/>
    <w:basedOn w:val="AklamaMetni"/>
    <w:next w:val="AklamaMetni"/>
    <w:link w:val="AklamaKonusuChar"/>
    <w:rsid w:val="00E755B2"/>
    <w:rPr>
      <w:b/>
      <w:bCs/>
    </w:rPr>
  </w:style>
  <w:style w:type="character" w:customStyle="1" w:styleId="AklamaKonusuChar">
    <w:name w:val="Açıklama Konusu Char"/>
    <w:basedOn w:val="AklamaMetniChar"/>
    <w:link w:val="AklamaKonusu"/>
    <w:rsid w:val="00E755B2"/>
    <w:rPr>
      <w:rFonts w:ascii="Calibri" w:eastAsia="Droid Sans" w:hAnsi="Calibri" w:cs="font298"/>
      <w:b/>
      <w:bCs/>
      <w:kern w:val="1"/>
      <w:sz w:val="20"/>
      <w:szCs w:val="20"/>
      <w:lang w:val="tr-TR" w:eastAsia="ar-SA"/>
    </w:rPr>
  </w:style>
  <w:style w:type="paragraph" w:styleId="SonnotMetni">
    <w:name w:val="endnote text"/>
    <w:basedOn w:val="Normal"/>
    <w:link w:val="SonnotMetniChar"/>
    <w:uiPriority w:val="99"/>
    <w:semiHidden/>
    <w:unhideWhenUsed/>
    <w:rsid w:val="00A70C9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A70C96"/>
    <w:rPr>
      <w:rFonts w:ascii="Calibri" w:eastAsia="Droid Sans" w:hAnsi="Calibri" w:cs="font298"/>
      <w:kern w:val="1"/>
      <w:sz w:val="20"/>
      <w:szCs w:val="20"/>
      <w:lang w:val="tr-TR" w:eastAsia="ar-SA"/>
    </w:rPr>
  </w:style>
  <w:style w:type="paragraph" w:customStyle="1" w:styleId="Baslik">
    <w:name w:val="Baslik"/>
    <w:basedOn w:val="WW-Varsaylan"/>
    <w:link w:val="BaslikChar"/>
    <w:qFormat/>
    <w:rsid w:val="00A6428B"/>
    <w:pPr>
      <w:spacing w:before="480" w:after="240" w:line="240" w:lineRule="auto"/>
      <w:jc w:val="center"/>
    </w:pPr>
    <w:rPr>
      <w:rFonts w:cs="Times New Roman"/>
      <w:b/>
      <w:kern w:val="32"/>
      <w:sz w:val="36"/>
    </w:rPr>
  </w:style>
  <w:style w:type="paragraph" w:customStyle="1" w:styleId="Yazarlar">
    <w:name w:val="Yazarlar"/>
    <w:basedOn w:val="WW-Varsaylan"/>
    <w:link w:val="YazarlarChar"/>
    <w:qFormat/>
    <w:rsid w:val="00EF0D71"/>
    <w:pPr>
      <w:spacing w:before="120" w:after="120" w:line="240" w:lineRule="auto"/>
      <w:jc w:val="center"/>
    </w:pPr>
    <w:rPr>
      <w:rFonts w:cs="Times New Roman"/>
    </w:rPr>
  </w:style>
  <w:style w:type="character" w:customStyle="1" w:styleId="WW-VarsaylanChar">
    <w:name w:val="WW-Varsayılan Char"/>
    <w:basedOn w:val="VarsaylanParagrafYazTipi"/>
    <w:link w:val="WW-Varsaylan"/>
    <w:rsid w:val="0073106E"/>
    <w:rPr>
      <w:rFonts w:ascii="Times New Roman" w:eastAsia="Arial" w:hAnsi="Times New Roman" w:cs="Arial"/>
      <w:kern w:val="1"/>
      <w:sz w:val="24"/>
      <w:szCs w:val="24"/>
      <w:lang w:eastAsia="hi-IN" w:bidi="hi-IN"/>
    </w:rPr>
  </w:style>
  <w:style w:type="character" w:customStyle="1" w:styleId="BaslikChar">
    <w:name w:val="Baslik Char"/>
    <w:basedOn w:val="WW-VarsaylanChar"/>
    <w:link w:val="Baslik"/>
    <w:rsid w:val="00A6428B"/>
    <w:rPr>
      <w:rFonts w:ascii="Times New Roman" w:eastAsia="Arial" w:hAnsi="Times New Roman" w:cs="Times New Roman"/>
      <w:b/>
      <w:kern w:val="32"/>
      <w:sz w:val="36"/>
      <w:szCs w:val="24"/>
      <w:lang w:eastAsia="hi-IN" w:bidi="hi-IN"/>
    </w:rPr>
  </w:style>
  <w:style w:type="paragraph" w:customStyle="1" w:styleId="Kurumlar">
    <w:name w:val="Kurumlar"/>
    <w:basedOn w:val="WW-Varsaylan"/>
    <w:link w:val="KurumlarChar"/>
    <w:qFormat/>
    <w:rsid w:val="005C7953"/>
    <w:pPr>
      <w:spacing w:line="240" w:lineRule="auto"/>
      <w:jc w:val="center"/>
    </w:pPr>
    <w:rPr>
      <w:rFonts w:cs="Times New Roman"/>
      <w:kern w:val="16"/>
      <w:sz w:val="16"/>
    </w:rPr>
  </w:style>
  <w:style w:type="character" w:customStyle="1" w:styleId="YazarlarChar">
    <w:name w:val="Yazarlar Char"/>
    <w:basedOn w:val="WW-VarsaylanChar"/>
    <w:link w:val="Yazarlar"/>
    <w:rsid w:val="00EF0D71"/>
    <w:rPr>
      <w:rFonts w:ascii="Times New Roman" w:eastAsia="Arial" w:hAnsi="Times New Roman" w:cs="Times New Roman"/>
      <w:kern w:val="1"/>
      <w:sz w:val="24"/>
      <w:szCs w:val="24"/>
      <w:lang w:eastAsia="hi-IN" w:bidi="hi-IN"/>
    </w:rPr>
  </w:style>
  <w:style w:type="paragraph" w:customStyle="1" w:styleId="Ozetbaslik">
    <w:name w:val="Ozet_baslik"/>
    <w:basedOn w:val="WW-Varsaylan"/>
    <w:link w:val="OzetbaslikChar"/>
    <w:qFormat/>
    <w:rsid w:val="0073106E"/>
    <w:pPr>
      <w:spacing w:before="120" w:after="120" w:line="240" w:lineRule="auto"/>
    </w:pPr>
    <w:rPr>
      <w:rFonts w:cs="Times New Roman"/>
      <w:b/>
    </w:rPr>
  </w:style>
  <w:style w:type="character" w:customStyle="1" w:styleId="KurumlarChar">
    <w:name w:val="Kurumlar Char"/>
    <w:basedOn w:val="WW-VarsaylanChar"/>
    <w:link w:val="Kurumlar"/>
    <w:rsid w:val="005C7953"/>
    <w:rPr>
      <w:rFonts w:ascii="Times New Roman" w:eastAsia="Arial" w:hAnsi="Times New Roman" w:cs="Times New Roman"/>
      <w:kern w:val="16"/>
      <w:sz w:val="16"/>
      <w:szCs w:val="24"/>
      <w:lang w:eastAsia="hi-IN" w:bidi="hi-IN"/>
    </w:rPr>
  </w:style>
  <w:style w:type="paragraph" w:customStyle="1" w:styleId="Ozet">
    <w:name w:val="Ozet"/>
    <w:basedOn w:val="Normal"/>
    <w:link w:val="OzetChar"/>
    <w:qFormat/>
    <w:rsid w:val="0073106E"/>
    <w:pPr>
      <w:spacing w:after="0" w:line="240" w:lineRule="auto"/>
      <w:jc w:val="both"/>
    </w:pPr>
    <w:rPr>
      <w:rFonts w:ascii="Times New Roman" w:hAnsi="Times New Roman" w:cs="Times New Roman"/>
      <w:sz w:val="20"/>
      <w:szCs w:val="24"/>
      <w:lang w:val="en-US"/>
    </w:rPr>
  </w:style>
  <w:style w:type="character" w:customStyle="1" w:styleId="OzetbaslikChar">
    <w:name w:val="Ozet_baslik Char"/>
    <w:basedOn w:val="WW-VarsaylanChar"/>
    <w:link w:val="Ozetbaslik"/>
    <w:rsid w:val="0073106E"/>
    <w:rPr>
      <w:rFonts w:ascii="Times New Roman" w:eastAsia="Arial" w:hAnsi="Times New Roman" w:cs="Times New Roman"/>
      <w:b/>
      <w:kern w:val="1"/>
      <w:sz w:val="24"/>
      <w:szCs w:val="24"/>
      <w:lang w:eastAsia="hi-IN" w:bidi="hi-IN"/>
    </w:rPr>
  </w:style>
  <w:style w:type="paragraph" w:customStyle="1" w:styleId="Ananhtarkelimeler">
    <w:name w:val="Ananhtar_kelimeler"/>
    <w:basedOn w:val="WW-Varsaylan"/>
    <w:link w:val="AnanhtarkelimelerChar"/>
    <w:qFormat/>
    <w:rsid w:val="005C7953"/>
    <w:pPr>
      <w:spacing w:before="120" w:after="240" w:line="240" w:lineRule="auto"/>
    </w:pPr>
    <w:rPr>
      <w:rFonts w:cs="Times New Roman"/>
      <w:sz w:val="20"/>
    </w:rPr>
  </w:style>
  <w:style w:type="character" w:customStyle="1" w:styleId="OzetChar">
    <w:name w:val="Ozet Char"/>
    <w:basedOn w:val="VarsaylanParagrafYazTipi"/>
    <w:link w:val="Ozet"/>
    <w:rsid w:val="0073106E"/>
    <w:rPr>
      <w:rFonts w:ascii="Times New Roman" w:eastAsia="Droid Sans" w:hAnsi="Times New Roman" w:cs="Times New Roman"/>
      <w:kern w:val="1"/>
      <w:sz w:val="20"/>
      <w:szCs w:val="24"/>
      <w:lang w:eastAsia="ar-SA"/>
    </w:rPr>
  </w:style>
  <w:style w:type="paragraph" w:customStyle="1" w:styleId="Girisbaslik">
    <w:name w:val="Giris_baslik"/>
    <w:basedOn w:val="Normal"/>
    <w:link w:val="GirisbaslikChar"/>
    <w:qFormat/>
    <w:rsid w:val="00975343"/>
    <w:pPr>
      <w:spacing w:before="120" w:after="120" w:line="240" w:lineRule="auto"/>
    </w:pPr>
    <w:rPr>
      <w:rFonts w:ascii="Times New Roman" w:hAnsi="Times New Roman" w:cs="Times New Roman"/>
      <w:b/>
      <w:sz w:val="24"/>
      <w:szCs w:val="24"/>
      <w:lang w:val="en-US"/>
    </w:rPr>
  </w:style>
  <w:style w:type="character" w:customStyle="1" w:styleId="AnanhtarkelimelerChar">
    <w:name w:val="Ananhtar_kelimeler Char"/>
    <w:basedOn w:val="WW-VarsaylanChar"/>
    <w:link w:val="Ananhtarkelimeler"/>
    <w:rsid w:val="005C7953"/>
    <w:rPr>
      <w:rFonts w:ascii="Times New Roman" w:eastAsia="Arial" w:hAnsi="Times New Roman" w:cs="Times New Roman"/>
      <w:kern w:val="1"/>
      <w:sz w:val="20"/>
      <w:szCs w:val="24"/>
      <w:lang w:eastAsia="hi-IN" w:bidi="hi-IN"/>
    </w:rPr>
  </w:style>
  <w:style w:type="paragraph" w:customStyle="1" w:styleId="Kaynaklarbaslik">
    <w:name w:val="Kaynaklar_baslik"/>
    <w:basedOn w:val="Normal"/>
    <w:link w:val="KaynaklarbaslikChar"/>
    <w:qFormat/>
    <w:rsid w:val="00975343"/>
    <w:pPr>
      <w:spacing w:before="120" w:after="120" w:line="240" w:lineRule="auto"/>
      <w:jc w:val="both"/>
    </w:pPr>
    <w:rPr>
      <w:rFonts w:ascii="Times New Roman" w:hAnsi="Times New Roman" w:cs="Times New Roman"/>
      <w:b/>
      <w:sz w:val="24"/>
      <w:szCs w:val="20"/>
      <w:lang w:val="en-US"/>
    </w:rPr>
  </w:style>
  <w:style w:type="character" w:customStyle="1" w:styleId="GirisbaslikChar">
    <w:name w:val="Giris_baslik Char"/>
    <w:basedOn w:val="VarsaylanParagrafYazTipi"/>
    <w:link w:val="Girisbaslik"/>
    <w:rsid w:val="00975343"/>
    <w:rPr>
      <w:rFonts w:ascii="Times New Roman" w:eastAsia="Droid Sans" w:hAnsi="Times New Roman" w:cs="Times New Roman"/>
      <w:b/>
      <w:kern w:val="1"/>
      <w:sz w:val="24"/>
      <w:szCs w:val="24"/>
      <w:lang w:eastAsia="ar-SA"/>
    </w:rPr>
  </w:style>
  <w:style w:type="paragraph" w:customStyle="1" w:styleId="Kaynaklar">
    <w:name w:val="Kaynaklar"/>
    <w:basedOn w:val="Normal"/>
    <w:link w:val="KaynaklarChar"/>
    <w:qFormat/>
    <w:rsid w:val="0089636F"/>
    <w:pPr>
      <w:spacing w:after="0" w:line="240" w:lineRule="auto"/>
      <w:ind w:left="284" w:hanging="284"/>
      <w:jc w:val="both"/>
    </w:pPr>
    <w:rPr>
      <w:rFonts w:ascii="Times New Roman" w:hAnsi="Times New Roman" w:cs="Times New Roman"/>
      <w:sz w:val="20"/>
      <w:szCs w:val="20"/>
      <w:lang w:val="en-US"/>
    </w:rPr>
  </w:style>
  <w:style w:type="character" w:customStyle="1" w:styleId="KaynaklarbaslikChar">
    <w:name w:val="Kaynaklar_baslik Char"/>
    <w:basedOn w:val="VarsaylanParagrafYazTipi"/>
    <w:link w:val="Kaynaklarbaslik"/>
    <w:rsid w:val="00975343"/>
    <w:rPr>
      <w:rFonts w:ascii="Times New Roman" w:eastAsia="Droid Sans" w:hAnsi="Times New Roman" w:cs="Times New Roman"/>
      <w:b/>
      <w:kern w:val="1"/>
      <w:sz w:val="24"/>
      <w:szCs w:val="20"/>
      <w:lang w:eastAsia="ar-SA"/>
    </w:rPr>
  </w:style>
  <w:style w:type="paragraph" w:customStyle="1" w:styleId="Basliklar">
    <w:name w:val="Basliklar"/>
    <w:basedOn w:val="Normal"/>
    <w:link w:val="BasliklarChar"/>
    <w:qFormat/>
    <w:rsid w:val="00A6428B"/>
    <w:pPr>
      <w:spacing w:before="240" w:after="120" w:line="240" w:lineRule="auto"/>
      <w:jc w:val="both"/>
    </w:pPr>
    <w:rPr>
      <w:rFonts w:ascii="Times New Roman" w:hAnsi="Times New Roman" w:cs="Times New Roman"/>
      <w:b/>
      <w:sz w:val="24"/>
      <w:szCs w:val="20"/>
      <w:lang w:val="en-US"/>
    </w:rPr>
  </w:style>
  <w:style w:type="character" w:customStyle="1" w:styleId="KaynaklarChar">
    <w:name w:val="Kaynaklar Char"/>
    <w:basedOn w:val="VarsaylanParagrafYazTipi"/>
    <w:link w:val="Kaynaklar"/>
    <w:rsid w:val="0089636F"/>
    <w:rPr>
      <w:rFonts w:ascii="Times New Roman" w:eastAsia="Droid Sans" w:hAnsi="Times New Roman" w:cs="Times New Roman"/>
      <w:kern w:val="1"/>
      <w:sz w:val="20"/>
      <w:szCs w:val="20"/>
      <w:lang w:eastAsia="ar-SA"/>
    </w:rPr>
  </w:style>
  <w:style w:type="paragraph" w:customStyle="1" w:styleId="Basliklar2">
    <w:name w:val="Basliklar_2"/>
    <w:basedOn w:val="Normal"/>
    <w:link w:val="Basliklar2Char"/>
    <w:qFormat/>
    <w:rsid w:val="00A6428B"/>
    <w:pPr>
      <w:spacing w:before="240" w:after="120" w:line="240" w:lineRule="auto"/>
      <w:jc w:val="both"/>
    </w:pPr>
    <w:rPr>
      <w:rFonts w:ascii="Times New Roman" w:hAnsi="Times New Roman" w:cs="Times New Roman"/>
      <w:b/>
      <w:i/>
      <w:szCs w:val="20"/>
      <w:lang w:val="en-US"/>
    </w:rPr>
  </w:style>
  <w:style w:type="character" w:customStyle="1" w:styleId="BasliklarChar">
    <w:name w:val="Basliklar Char"/>
    <w:basedOn w:val="VarsaylanParagrafYazTipi"/>
    <w:link w:val="Basliklar"/>
    <w:rsid w:val="00A6428B"/>
    <w:rPr>
      <w:rFonts w:ascii="Times New Roman" w:eastAsia="Droid Sans" w:hAnsi="Times New Roman" w:cs="Times New Roman"/>
      <w:b/>
      <w:kern w:val="1"/>
      <w:sz w:val="24"/>
      <w:szCs w:val="20"/>
      <w:lang w:eastAsia="ar-SA"/>
    </w:rPr>
  </w:style>
  <w:style w:type="paragraph" w:customStyle="1" w:styleId="Yazariletisim">
    <w:name w:val="Yazar_iletisim"/>
    <w:basedOn w:val="DipnotMetni"/>
    <w:link w:val="YazariletisimChar"/>
    <w:qFormat/>
    <w:rsid w:val="006317DF"/>
    <w:pPr>
      <w:spacing w:after="0" w:line="240" w:lineRule="auto"/>
    </w:pPr>
    <w:rPr>
      <w:rFonts w:ascii="Times New Roman" w:hAnsi="Times New Roman"/>
      <w:kern w:val="20"/>
    </w:rPr>
  </w:style>
  <w:style w:type="character" w:customStyle="1" w:styleId="Basliklar2Char">
    <w:name w:val="Basliklar_2 Char"/>
    <w:basedOn w:val="VarsaylanParagrafYazTipi"/>
    <w:link w:val="Basliklar2"/>
    <w:rsid w:val="00A6428B"/>
    <w:rPr>
      <w:rFonts w:ascii="Times New Roman" w:eastAsia="Droid Sans" w:hAnsi="Times New Roman" w:cs="Times New Roman"/>
      <w:b/>
      <w:i/>
      <w:kern w:val="1"/>
      <w:szCs w:val="20"/>
      <w:lang w:eastAsia="ar-SA"/>
    </w:rPr>
  </w:style>
  <w:style w:type="character" w:customStyle="1" w:styleId="YazariletisimChar">
    <w:name w:val="Yazar_iletisim Char"/>
    <w:basedOn w:val="DipnotMetniChar1"/>
    <w:link w:val="Yazariletisim"/>
    <w:rsid w:val="006317DF"/>
    <w:rPr>
      <w:rFonts w:ascii="Times New Roman" w:eastAsia="Droid Sans" w:hAnsi="Times New Roman" w:cs="font298"/>
      <w:kern w:val="20"/>
      <w:sz w:val="20"/>
      <w:szCs w:val="20"/>
      <w:lang w:val="tr-TR" w:eastAsia="ar-SA"/>
    </w:rPr>
  </w:style>
  <w:style w:type="paragraph" w:customStyle="1" w:styleId="makalegonderim">
    <w:name w:val="makale_gonderim"/>
    <w:basedOn w:val="Kurumlar"/>
    <w:link w:val="makalegonderimChar"/>
    <w:qFormat/>
    <w:rsid w:val="004C2B31"/>
    <w:pPr>
      <w:spacing w:before="120" w:after="120"/>
    </w:pPr>
  </w:style>
  <w:style w:type="paragraph" w:customStyle="1" w:styleId="metin">
    <w:name w:val="metin"/>
    <w:basedOn w:val="Normal"/>
    <w:link w:val="metinChar"/>
    <w:qFormat/>
    <w:rsid w:val="0057107E"/>
    <w:pPr>
      <w:tabs>
        <w:tab w:val="left" w:pos="284"/>
      </w:tabs>
      <w:spacing w:before="120" w:after="120" w:line="240" w:lineRule="auto"/>
      <w:ind w:firstLine="340"/>
      <w:jc w:val="both"/>
    </w:pPr>
    <w:rPr>
      <w:rFonts w:ascii="Times New Roman" w:hAnsi="Times New Roman" w:cs="Times New Roman"/>
      <w:sz w:val="20"/>
      <w:szCs w:val="20"/>
      <w:lang w:val="en-US"/>
    </w:rPr>
  </w:style>
  <w:style w:type="character" w:customStyle="1" w:styleId="makalegonderimChar">
    <w:name w:val="makale_gonderim Char"/>
    <w:basedOn w:val="KurumlarChar"/>
    <w:link w:val="makalegonderim"/>
    <w:rsid w:val="004C2B31"/>
    <w:rPr>
      <w:rFonts w:ascii="Times New Roman" w:eastAsia="Arial" w:hAnsi="Times New Roman" w:cs="Times New Roman"/>
      <w:kern w:val="1"/>
      <w:sz w:val="20"/>
      <w:szCs w:val="24"/>
      <w:vertAlign w:val="superscript"/>
      <w:lang w:eastAsia="hi-IN" w:bidi="hi-IN"/>
    </w:rPr>
  </w:style>
  <w:style w:type="character" w:customStyle="1" w:styleId="metinChar">
    <w:name w:val="metin Char"/>
    <w:basedOn w:val="VarsaylanParagrafYazTipi"/>
    <w:link w:val="metin"/>
    <w:rsid w:val="0057107E"/>
    <w:rPr>
      <w:rFonts w:ascii="Times New Roman" w:eastAsia="Droid Sans" w:hAnsi="Times New Roman" w:cs="Times New Roman"/>
      <w:kern w:val="1"/>
      <w:sz w:val="20"/>
      <w:szCs w:val="20"/>
      <w:lang w:eastAsia="ar-SA"/>
    </w:rPr>
  </w:style>
  <w:style w:type="paragraph" w:customStyle="1" w:styleId="Tablo">
    <w:name w:val="Tablo"/>
    <w:basedOn w:val="metin"/>
    <w:link w:val="TabloChar"/>
    <w:qFormat/>
    <w:rsid w:val="00A6428B"/>
    <w:pPr>
      <w:spacing w:before="0" w:after="0"/>
      <w:ind w:firstLine="0"/>
    </w:pPr>
    <w:rPr>
      <w:kern w:val="20"/>
      <w:lang w:eastAsia="ja-JP"/>
    </w:rPr>
  </w:style>
  <w:style w:type="character" w:customStyle="1" w:styleId="TabloChar">
    <w:name w:val="Tablo Char"/>
    <w:basedOn w:val="metinChar"/>
    <w:link w:val="Tablo"/>
    <w:rsid w:val="00A6428B"/>
    <w:rPr>
      <w:rFonts w:ascii="Times New Roman" w:eastAsia="Droid Sans" w:hAnsi="Times New Roman" w:cs="Times New Roman"/>
      <w:kern w:val="20"/>
      <w:sz w:val="20"/>
      <w:szCs w:val="20"/>
      <w:lang w:eastAsia="ja-JP"/>
    </w:rPr>
  </w:style>
  <w:style w:type="character" w:customStyle="1" w:styleId="Balk4Char">
    <w:name w:val="Başlık 4 Char"/>
    <w:basedOn w:val="VarsaylanParagrafYazTipi"/>
    <w:link w:val="Balk4"/>
    <w:uiPriority w:val="9"/>
    <w:rsid w:val="000347BD"/>
    <w:rPr>
      <w:rFonts w:asciiTheme="majorHAnsi" w:eastAsiaTheme="majorEastAsia" w:hAnsiTheme="majorHAnsi" w:cstheme="majorBidi"/>
      <w:i/>
      <w:iCs/>
      <w:color w:val="365F91" w:themeColor="accent1" w:themeShade="BF"/>
      <w:kern w:val="1"/>
      <w:lang w:val="tr-TR" w:eastAsia="ar-SA"/>
    </w:rPr>
  </w:style>
  <w:style w:type="table" w:styleId="TabloKlavuzu">
    <w:name w:val="Table Grid"/>
    <w:basedOn w:val="NormalTablo"/>
    <w:uiPriority w:val="59"/>
    <w:rsid w:val="00F7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630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9957">
      <w:bodyDiv w:val="1"/>
      <w:marLeft w:val="0"/>
      <w:marRight w:val="0"/>
      <w:marTop w:val="0"/>
      <w:marBottom w:val="0"/>
      <w:divBdr>
        <w:top w:val="none" w:sz="0" w:space="0" w:color="auto"/>
        <w:left w:val="none" w:sz="0" w:space="0" w:color="auto"/>
        <w:bottom w:val="none" w:sz="0" w:space="0" w:color="auto"/>
        <w:right w:val="none" w:sz="0" w:space="0" w:color="auto"/>
      </w:divBdr>
    </w:div>
    <w:div w:id="365913723">
      <w:bodyDiv w:val="1"/>
      <w:marLeft w:val="0"/>
      <w:marRight w:val="0"/>
      <w:marTop w:val="0"/>
      <w:marBottom w:val="0"/>
      <w:divBdr>
        <w:top w:val="none" w:sz="0" w:space="0" w:color="auto"/>
        <w:left w:val="none" w:sz="0" w:space="0" w:color="auto"/>
        <w:bottom w:val="none" w:sz="0" w:space="0" w:color="auto"/>
        <w:right w:val="none" w:sz="0" w:space="0" w:color="auto"/>
      </w:divBdr>
    </w:div>
    <w:div w:id="466894034">
      <w:bodyDiv w:val="1"/>
      <w:marLeft w:val="0"/>
      <w:marRight w:val="0"/>
      <w:marTop w:val="0"/>
      <w:marBottom w:val="0"/>
      <w:divBdr>
        <w:top w:val="none" w:sz="0" w:space="0" w:color="auto"/>
        <w:left w:val="none" w:sz="0" w:space="0" w:color="auto"/>
        <w:bottom w:val="none" w:sz="0" w:space="0" w:color="auto"/>
        <w:right w:val="none" w:sz="0" w:space="0" w:color="auto"/>
      </w:divBdr>
    </w:div>
    <w:div w:id="469172449">
      <w:bodyDiv w:val="1"/>
      <w:marLeft w:val="0"/>
      <w:marRight w:val="0"/>
      <w:marTop w:val="0"/>
      <w:marBottom w:val="0"/>
      <w:divBdr>
        <w:top w:val="none" w:sz="0" w:space="0" w:color="auto"/>
        <w:left w:val="none" w:sz="0" w:space="0" w:color="auto"/>
        <w:bottom w:val="none" w:sz="0" w:space="0" w:color="auto"/>
        <w:right w:val="none" w:sz="0" w:space="0" w:color="auto"/>
      </w:divBdr>
    </w:div>
    <w:div w:id="577328692">
      <w:bodyDiv w:val="1"/>
      <w:marLeft w:val="0"/>
      <w:marRight w:val="0"/>
      <w:marTop w:val="0"/>
      <w:marBottom w:val="0"/>
      <w:divBdr>
        <w:top w:val="none" w:sz="0" w:space="0" w:color="auto"/>
        <w:left w:val="none" w:sz="0" w:space="0" w:color="auto"/>
        <w:bottom w:val="none" w:sz="0" w:space="0" w:color="auto"/>
        <w:right w:val="none" w:sz="0" w:space="0" w:color="auto"/>
      </w:divBdr>
    </w:div>
    <w:div w:id="765659399">
      <w:bodyDiv w:val="1"/>
      <w:marLeft w:val="0"/>
      <w:marRight w:val="0"/>
      <w:marTop w:val="0"/>
      <w:marBottom w:val="0"/>
      <w:divBdr>
        <w:top w:val="none" w:sz="0" w:space="0" w:color="auto"/>
        <w:left w:val="none" w:sz="0" w:space="0" w:color="auto"/>
        <w:bottom w:val="none" w:sz="0" w:space="0" w:color="auto"/>
        <w:right w:val="none" w:sz="0" w:space="0" w:color="auto"/>
      </w:divBdr>
    </w:div>
    <w:div w:id="770512854">
      <w:bodyDiv w:val="1"/>
      <w:marLeft w:val="0"/>
      <w:marRight w:val="0"/>
      <w:marTop w:val="0"/>
      <w:marBottom w:val="0"/>
      <w:divBdr>
        <w:top w:val="none" w:sz="0" w:space="0" w:color="auto"/>
        <w:left w:val="none" w:sz="0" w:space="0" w:color="auto"/>
        <w:bottom w:val="none" w:sz="0" w:space="0" w:color="auto"/>
        <w:right w:val="none" w:sz="0" w:space="0" w:color="auto"/>
      </w:divBdr>
    </w:div>
    <w:div w:id="876310277">
      <w:bodyDiv w:val="1"/>
      <w:marLeft w:val="0"/>
      <w:marRight w:val="0"/>
      <w:marTop w:val="0"/>
      <w:marBottom w:val="0"/>
      <w:divBdr>
        <w:top w:val="none" w:sz="0" w:space="0" w:color="auto"/>
        <w:left w:val="none" w:sz="0" w:space="0" w:color="auto"/>
        <w:bottom w:val="none" w:sz="0" w:space="0" w:color="auto"/>
        <w:right w:val="none" w:sz="0" w:space="0" w:color="auto"/>
      </w:divBdr>
    </w:div>
    <w:div w:id="1042440173">
      <w:bodyDiv w:val="1"/>
      <w:marLeft w:val="0"/>
      <w:marRight w:val="0"/>
      <w:marTop w:val="0"/>
      <w:marBottom w:val="0"/>
      <w:divBdr>
        <w:top w:val="none" w:sz="0" w:space="0" w:color="auto"/>
        <w:left w:val="none" w:sz="0" w:space="0" w:color="auto"/>
        <w:bottom w:val="none" w:sz="0" w:space="0" w:color="auto"/>
        <w:right w:val="none" w:sz="0" w:space="0" w:color="auto"/>
      </w:divBdr>
    </w:div>
    <w:div w:id="1189876735">
      <w:bodyDiv w:val="1"/>
      <w:marLeft w:val="0"/>
      <w:marRight w:val="0"/>
      <w:marTop w:val="0"/>
      <w:marBottom w:val="0"/>
      <w:divBdr>
        <w:top w:val="none" w:sz="0" w:space="0" w:color="auto"/>
        <w:left w:val="none" w:sz="0" w:space="0" w:color="auto"/>
        <w:bottom w:val="none" w:sz="0" w:space="0" w:color="auto"/>
        <w:right w:val="none" w:sz="0" w:space="0" w:color="auto"/>
      </w:divBdr>
    </w:div>
    <w:div w:id="1485462929">
      <w:bodyDiv w:val="1"/>
      <w:marLeft w:val="0"/>
      <w:marRight w:val="0"/>
      <w:marTop w:val="0"/>
      <w:marBottom w:val="0"/>
      <w:divBdr>
        <w:top w:val="none" w:sz="0" w:space="0" w:color="auto"/>
        <w:left w:val="none" w:sz="0" w:space="0" w:color="auto"/>
        <w:bottom w:val="none" w:sz="0" w:space="0" w:color="auto"/>
        <w:right w:val="none" w:sz="0" w:space="0" w:color="auto"/>
      </w:divBdr>
    </w:div>
    <w:div w:id="1594826373">
      <w:bodyDiv w:val="1"/>
      <w:marLeft w:val="0"/>
      <w:marRight w:val="0"/>
      <w:marTop w:val="0"/>
      <w:marBottom w:val="0"/>
      <w:divBdr>
        <w:top w:val="none" w:sz="0" w:space="0" w:color="auto"/>
        <w:left w:val="none" w:sz="0" w:space="0" w:color="auto"/>
        <w:bottom w:val="none" w:sz="0" w:space="0" w:color="auto"/>
        <w:right w:val="none" w:sz="0" w:space="0" w:color="auto"/>
      </w:divBdr>
    </w:div>
    <w:div w:id="1615285242">
      <w:bodyDiv w:val="1"/>
      <w:marLeft w:val="0"/>
      <w:marRight w:val="0"/>
      <w:marTop w:val="0"/>
      <w:marBottom w:val="0"/>
      <w:divBdr>
        <w:top w:val="none" w:sz="0" w:space="0" w:color="auto"/>
        <w:left w:val="none" w:sz="0" w:space="0" w:color="auto"/>
        <w:bottom w:val="none" w:sz="0" w:space="0" w:color="auto"/>
        <w:right w:val="none" w:sz="0" w:space="0" w:color="auto"/>
      </w:divBdr>
    </w:div>
    <w:div w:id="1729330843">
      <w:bodyDiv w:val="1"/>
      <w:marLeft w:val="0"/>
      <w:marRight w:val="0"/>
      <w:marTop w:val="0"/>
      <w:marBottom w:val="0"/>
      <w:divBdr>
        <w:top w:val="none" w:sz="0" w:space="0" w:color="auto"/>
        <w:left w:val="none" w:sz="0" w:space="0" w:color="auto"/>
        <w:bottom w:val="none" w:sz="0" w:space="0" w:color="auto"/>
        <w:right w:val="none" w:sz="0" w:space="0" w:color="auto"/>
      </w:divBdr>
    </w:div>
    <w:div w:id="1965653811">
      <w:bodyDiv w:val="1"/>
      <w:marLeft w:val="0"/>
      <w:marRight w:val="0"/>
      <w:marTop w:val="0"/>
      <w:marBottom w:val="0"/>
      <w:divBdr>
        <w:top w:val="none" w:sz="0" w:space="0" w:color="auto"/>
        <w:left w:val="none" w:sz="0" w:space="0" w:color="auto"/>
        <w:bottom w:val="none" w:sz="0" w:space="0" w:color="auto"/>
        <w:right w:val="none" w:sz="0" w:space="0" w:color="auto"/>
      </w:divBdr>
    </w:div>
    <w:div w:id="204185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hyperlink" Target="https://pitt.libguides.com/citationhelp/apa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esatmsci.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herdun@thy.co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resatmsci.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20FAF-9715-4F64-B9D2-B9EED3B7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4412</Words>
  <Characters>25154</Characters>
  <Application>Microsoft Office Word</Application>
  <DocSecurity>0</DocSecurity>
  <Lines>209</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3</cp:revision>
  <cp:lastPrinted>2013-12-29T20:11:00Z</cp:lastPrinted>
  <dcterms:created xsi:type="dcterms:W3CDTF">2020-09-16T04:34:00Z</dcterms:created>
  <dcterms:modified xsi:type="dcterms:W3CDTF">2021-05-02T10:02:00Z</dcterms:modified>
</cp:coreProperties>
</file>